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9FEDD8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D52233">
        <w:rPr>
          <w:bCs/>
          <w:noProof w:val="0"/>
          <w:sz w:val="24"/>
          <w:szCs w:val="24"/>
        </w:rPr>
        <w:t>8212</w:t>
      </w:r>
    </w:p>
    <w:p w14:paraId="11776FA6" w14:textId="776456B8"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73CFF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52E4" w:rsidRPr="00CC52E4">
        <w:rPr>
          <w:rFonts w:cs="Arial"/>
          <w:b/>
          <w:bCs/>
          <w:sz w:val="24"/>
          <w:lang w:eastAsia="ja-JP"/>
        </w:rPr>
        <w:t>8.4.2.1</w:t>
      </w:r>
      <w:r w:rsidR="00CC52E4">
        <w:rPr>
          <w:rFonts w:cs="Arial"/>
          <w:b/>
          <w:bCs/>
          <w:sz w:val="24"/>
          <w:lang w:eastAsia="ja-JP"/>
        </w:rPr>
        <w:t xml:space="preserve"> - </w:t>
      </w:r>
      <w:r w:rsidR="00CC52E4" w:rsidRPr="00CC52E4">
        <w:rPr>
          <w:rFonts w:cs="Arial"/>
          <w:b/>
          <w:bCs/>
          <w:sz w:val="24"/>
          <w:lang w:eastAsia="ja-JP"/>
        </w:rPr>
        <w:t>Target Performance Enhancements</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9E442C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7768">
        <w:rPr>
          <w:rFonts w:ascii="Arial" w:hAnsi="Arial" w:cs="Arial"/>
          <w:b/>
          <w:bCs/>
          <w:sz w:val="24"/>
        </w:rPr>
        <w:t xml:space="preserve">Prerequisites and benefits of Lower Layer Mobility </w:t>
      </w:r>
      <w:r w:rsidR="00CC52E4">
        <w:rPr>
          <w:rFonts w:ascii="Arial" w:hAnsi="Arial" w:cs="Arial"/>
          <w:b/>
          <w:bCs/>
          <w:sz w:val="24"/>
        </w:rPr>
        <w:t xml:space="preserve"> </w:t>
      </w:r>
    </w:p>
    <w:p w14:paraId="25F387E8" w14:textId="7AC713AA" w:rsidR="00446C3A" w:rsidRPr="00B266B0" w:rsidRDefault="00446C3A" w:rsidP="00446C3A">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AE7976" w:rsidRPr="00AE7976">
        <w:rPr>
          <w:rFonts w:ascii="Arial" w:hAnsi="Arial" w:cs="Arial"/>
          <w:b/>
          <w:bCs/>
          <w:sz w:val="24"/>
        </w:rPr>
        <w:t>NR_Mob_enh2</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16AF37" w:rsidR="00A209D6" w:rsidRDefault="00A209D6" w:rsidP="00122477">
      <w:pPr>
        <w:pStyle w:val="Heading1"/>
        <w:numPr>
          <w:ilvl w:val="0"/>
          <w:numId w:val="18"/>
        </w:numPr>
      </w:pPr>
      <w:r>
        <w:t>Introduction</w:t>
      </w:r>
    </w:p>
    <w:p w14:paraId="08377AD8" w14:textId="14E38905" w:rsidR="00FC0CAB" w:rsidRPr="00543EB0" w:rsidRDefault="00B906B6" w:rsidP="00122477">
      <w:r w:rsidRPr="00543EB0">
        <w:t xml:space="preserve">According to RP-221799 </w:t>
      </w:r>
      <w:r w:rsidR="00FC0CAB" w:rsidRPr="00543EB0">
        <w:t>one of the</w:t>
      </w:r>
      <w:r w:rsidRPr="00543EB0">
        <w:t xml:space="preserve"> </w:t>
      </w:r>
      <w:r w:rsidR="00FC0CAB" w:rsidRPr="00543EB0">
        <w:t>objectives of this Work Item is:</w:t>
      </w:r>
    </w:p>
    <w:tbl>
      <w:tblPr>
        <w:tblStyle w:val="TableGrid"/>
        <w:tblW w:w="0" w:type="auto"/>
        <w:tblLook w:val="04A0" w:firstRow="1" w:lastRow="0" w:firstColumn="1" w:lastColumn="0" w:noHBand="0" w:noVBand="1"/>
      </w:tblPr>
      <w:tblGrid>
        <w:gridCol w:w="9631"/>
      </w:tblGrid>
      <w:tr w:rsidR="00FC0CAB" w14:paraId="6230DBE6" w14:textId="77777777" w:rsidTr="00FC0CAB">
        <w:tc>
          <w:tcPr>
            <w:tcW w:w="9631" w:type="dxa"/>
          </w:tcPr>
          <w:p w14:paraId="2A0A7825" w14:textId="77777777" w:rsidR="00FC0CAB" w:rsidRPr="00543EB0" w:rsidRDefault="00FC0CAB" w:rsidP="00FC0CAB">
            <w:pPr>
              <w:numPr>
                <w:ilvl w:val="0"/>
                <w:numId w:val="27"/>
              </w:numPr>
              <w:spacing w:after="0" w:line="256" w:lineRule="auto"/>
              <w:jc w:val="both"/>
              <w:rPr>
                <w:sz w:val="16"/>
                <w:szCs w:val="16"/>
              </w:rPr>
            </w:pPr>
            <w:r w:rsidRPr="00543EB0">
              <w:rPr>
                <w:sz w:val="16"/>
                <w:szCs w:val="16"/>
              </w:rPr>
              <w:t>To specify mechanism and procedures of L1/L2 based inter-cell mobility for mobility latency reduction:</w:t>
            </w:r>
          </w:p>
          <w:p w14:paraId="6EAFFD81" w14:textId="77777777" w:rsidR="00FC0CAB" w:rsidRPr="00543EB0" w:rsidRDefault="00FC0CAB" w:rsidP="00FC0CAB">
            <w:pPr>
              <w:numPr>
                <w:ilvl w:val="0"/>
                <w:numId w:val="28"/>
              </w:numPr>
              <w:spacing w:after="0" w:line="256" w:lineRule="auto"/>
              <w:jc w:val="both"/>
              <w:rPr>
                <w:sz w:val="16"/>
                <w:szCs w:val="16"/>
              </w:rPr>
            </w:pPr>
            <w:r w:rsidRPr="00543EB0">
              <w:rPr>
                <w:sz w:val="16"/>
                <w:szCs w:val="16"/>
              </w:rPr>
              <w:t>Configuration and maintenance for multiple candidate cells to allow fast application of configurations for candidate cells [RAN2, RAN3]</w:t>
            </w:r>
          </w:p>
          <w:p w14:paraId="709D2470" w14:textId="77777777" w:rsidR="00FC0CAB" w:rsidRPr="00543EB0" w:rsidRDefault="00FC0CAB" w:rsidP="00FC0CAB">
            <w:pPr>
              <w:numPr>
                <w:ilvl w:val="0"/>
                <w:numId w:val="28"/>
              </w:numPr>
              <w:spacing w:after="0" w:line="256" w:lineRule="auto"/>
              <w:jc w:val="both"/>
              <w:rPr>
                <w:sz w:val="16"/>
                <w:szCs w:val="16"/>
              </w:rPr>
            </w:pPr>
            <w:r w:rsidRPr="00543EB0">
              <w:rPr>
                <w:sz w:val="16"/>
                <w:szCs w:val="16"/>
              </w:rPr>
              <w:t xml:space="preserve">Dynamic switch mechanism among candidate serving cells (including </w:t>
            </w:r>
            <w:proofErr w:type="spellStart"/>
            <w:r w:rsidRPr="00543EB0">
              <w:rPr>
                <w:sz w:val="16"/>
                <w:szCs w:val="16"/>
              </w:rPr>
              <w:t>SpCell</w:t>
            </w:r>
            <w:proofErr w:type="spellEnd"/>
            <w:r w:rsidRPr="00543EB0">
              <w:rPr>
                <w:sz w:val="16"/>
                <w:szCs w:val="16"/>
              </w:rPr>
              <w:t xml:space="preserve"> and </w:t>
            </w:r>
            <w:proofErr w:type="spellStart"/>
            <w:r w:rsidRPr="00543EB0">
              <w:rPr>
                <w:sz w:val="16"/>
                <w:szCs w:val="16"/>
              </w:rPr>
              <w:t>SCell</w:t>
            </w:r>
            <w:proofErr w:type="spellEnd"/>
            <w:r w:rsidRPr="00543EB0">
              <w:rPr>
                <w:sz w:val="16"/>
                <w:szCs w:val="16"/>
              </w:rPr>
              <w:t>) for the potential applicable scenarios based on L1/L2 signalling [RAN2, RAN1]</w:t>
            </w:r>
          </w:p>
          <w:p w14:paraId="578BD027" w14:textId="77777777" w:rsidR="00FC0CAB" w:rsidRPr="00543EB0" w:rsidRDefault="00FC0CAB" w:rsidP="00FC0CAB">
            <w:pPr>
              <w:numPr>
                <w:ilvl w:val="0"/>
                <w:numId w:val="28"/>
              </w:numPr>
              <w:spacing w:after="0" w:line="256" w:lineRule="auto"/>
              <w:jc w:val="both"/>
              <w:rPr>
                <w:sz w:val="16"/>
                <w:szCs w:val="16"/>
              </w:rPr>
            </w:pPr>
            <w:r w:rsidRPr="00543EB0">
              <w:rPr>
                <w:sz w:val="16"/>
                <w:szCs w:val="16"/>
              </w:rPr>
              <w:t>L1 enhancements for inter-cell beam management, including L1 measurement and reporting, and beam indication [RAN1, RAN2]</w:t>
            </w:r>
          </w:p>
          <w:p w14:paraId="29BD3E90" w14:textId="77777777" w:rsidR="00FC0CAB" w:rsidRPr="00543EB0" w:rsidRDefault="00FC0CAB" w:rsidP="00FC0CAB">
            <w:pPr>
              <w:numPr>
                <w:ilvl w:val="1"/>
                <w:numId w:val="28"/>
              </w:numPr>
              <w:spacing w:after="0" w:line="256" w:lineRule="auto"/>
              <w:jc w:val="both"/>
              <w:rPr>
                <w:i/>
                <w:sz w:val="16"/>
                <w:szCs w:val="16"/>
              </w:rPr>
            </w:pPr>
            <w:r w:rsidRPr="00543EB0">
              <w:rPr>
                <w:i/>
                <w:sz w:val="16"/>
                <w:szCs w:val="16"/>
              </w:rPr>
              <w:t>Note 1: Early RAN2 involvement is necessary, including the possibility of further clarifying the interaction between this bullet with the previous bullet</w:t>
            </w:r>
          </w:p>
          <w:p w14:paraId="5C15DE59" w14:textId="77777777" w:rsidR="00FC0CAB" w:rsidRPr="00543EB0" w:rsidRDefault="00FC0CAB" w:rsidP="00FC0CAB">
            <w:pPr>
              <w:numPr>
                <w:ilvl w:val="0"/>
                <w:numId w:val="28"/>
              </w:numPr>
              <w:spacing w:after="0" w:line="256" w:lineRule="auto"/>
              <w:jc w:val="both"/>
              <w:rPr>
                <w:sz w:val="16"/>
                <w:szCs w:val="16"/>
              </w:rPr>
            </w:pPr>
            <w:r w:rsidRPr="00543EB0">
              <w:rPr>
                <w:sz w:val="16"/>
                <w:szCs w:val="16"/>
              </w:rPr>
              <w:t>Timing Advance management [RAN1, RAN2]</w:t>
            </w:r>
          </w:p>
          <w:p w14:paraId="4DFFD379" w14:textId="77777777" w:rsidR="00FC0CAB" w:rsidRPr="00543EB0" w:rsidRDefault="00FC0CAB" w:rsidP="00FC0CAB">
            <w:pPr>
              <w:numPr>
                <w:ilvl w:val="0"/>
                <w:numId w:val="28"/>
              </w:numPr>
              <w:spacing w:after="0" w:line="256" w:lineRule="auto"/>
              <w:jc w:val="both"/>
              <w:rPr>
                <w:sz w:val="16"/>
                <w:szCs w:val="16"/>
              </w:rPr>
            </w:pPr>
            <w:r w:rsidRPr="00543EB0">
              <w:rPr>
                <w:sz w:val="16"/>
                <w:szCs w:val="16"/>
              </w:rPr>
              <w:t xml:space="preserve">CU-DU interface </w:t>
            </w:r>
            <w:proofErr w:type="spellStart"/>
            <w:r w:rsidRPr="00543EB0">
              <w:rPr>
                <w:sz w:val="16"/>
                <w:szCs w:val="16"/>
              </w:rPr>
              <w:t>signaling</w:t>
            </w:r>
            <w:proofErr w:type="spellEnd"/>
            <w:r w:rsidRPr="00543EB0">
              <w:rPr>
                <w:sz w:val="16"/>
                <w:szCs w:val="16"/>
              </w:rPr>
              <w:t xml:space="preserve"> to support L1/L2 mobility, if needed [RAN3]</w:t>
            </w:r>
          </w:p>
          <w:p w14:paraId="6A60AC4F" w14:textId="77777777" w:rsidR="00FC0CAB" w:rsidRPr="00543EB0" w:rsidRDefault="00FC0CAB" w:rsidP="00FC0CAB">
            <w:pPr>
              <w:spacing w:after="0"/>
              <w:jc w:val="both"/>
              <w:rPr>
                <w:sz w:val="16"/>
                <w:szCs w:val="16"/>
              </w:rPr>
            </w:pPr>
          </w:p>
          <w:p w14:paraId="19BF4D5C" w14:textId="77777777" w:rsidR="00FC0CAB" w:rsidRPr="00543EB0" w:rsidRDefault="00FC0CAB" w:rsidP="00FC0CAB">
            <w:pPr>
              <w:spacing w:after="0"/>
              <w:ind w:left="720"/>
              <w:jc w:val="both"/>
              <w:rPr>
                <w:i/>
                <w:sz w:val="16"/>
                <w:szCs w:val="16"/>
              </w:rPr>
            </w:pPr>
            <w:r w:rsidRPr="00543EB0">
              <w:rPr>
                <w:i/>
                <w:sz w:val="16"/>
                <w:szCs w:val="16"/>
              </w:rPr>
              <w:t>Note 2: FR2 specific enhancements are not precluded, if any.</w:t>
            </w:r>
          </w:p>
          <w:p w14:paraId="5B078329" w14:textId="77777777" w:rsidR="00FC0CAB" w:rsidRPr="00543EB0" w:rsidRDefault="00FC0CAB" w:rsidP="00FC0CAB">
            <w:pPr>
              <w:spacing w:after="0"/>
              <w:ind w:left="720"/>
              <w:jc w:val="both"/>
              <w:rPr>
                <w:i/>
                <w:sz w:val="16"/>
                <w:szCs w:val="16"/>
              </w:rPr>
            </w:pPr>
            <w:r w:rsidRPr="00543EB0">
              <w:rPr>
                <w:i/>
                <w:sz w:val="16"/>
                <w:szCs w:val="16"/>
              </w:rPr>
              <w:t>Note 3: The procedure of L1/L2 based inter-cell mobility are applicable to the following scenarios:</w:t>
            </w:r>
          </w:p>
          <w:p w14:paraId="4A3F9356" w14:textId="77777777" w:rsidR="00FC0CAB" w:rsidRPr="00543EB0" w:rsidRDefault="00FC0CAB" w:rsidP="00FC0CAB">
            <w:pPr>
              <w:numPr>
                <w:ilvl w:val="2"/>
                <w:numId w:val="29"/>
              </w:numPr>
              <w:spacing w:after="0" w:line="256" w:lineRule="auto"/>
              <w:ind w:left="1443"/>
              <w:jc w:val="both"/>
              <w:rPr>
                <w:i/>
                <w:sz w:val="16"/>
                <w:szCs w:val="16"/>
              </w:rPr>
            </w:pPr>
            <w:r w:rsidRPr="00543EB0">
              <w:rPr>
                <w:i/>
                <w:sz w:val="16"/>
                <w:szCs w:val="16"/>
              </w:rPr>
              <w:t>Standalone, CA and NR-DC case with serving cell change within one CG</w:t>
            </w:r>
          </w:p>
          <w:p w14:paraId="0404231C" w14:textId="77777777" w:rsidR="00FC0CAB" w:rsidRPr="00543EB0" w:rsidRDefault="00FC0CAB" w:rsidP="00FC0CAB">
            <w:pPr>
              <w:numPr>
                <w:ilvl w:val="2"/>
                <w:numId w:val="29"/>
              </w:numPr>
              <w:spacing w:after="0" w:line="256" w:lineRule="auto"/>
              <w:ind w:left="1443"/>
              <w:jc w:val="both"/>
              <w:rPr>
                <w:i/>
                <w:sz w:val="16"/>
                <w:szCs w:val="16"/>
              </w:rPr>
            </w:pPr>
            <w:r w:rsidRPr="00543EB0">
              <w:rPr>
                <w:i/>
                <w:sz w:val="16"/>
                <w:szCs w:val="16"/>
              </w:rPr>
              <w:t>Intra-DU case and intra-CU inter-DU case (applicable for Standalone and CA: no new RAN interfaces are expected)</w:t>
            </w:r>
          </w:p>
          <w:p w14:paraId="2DC3ACFC" w14:textId="77777777" w:rsidR="00FC0CAB" w:rsidRPr="00543EB0" w:rsidRDefault="00FC0CAB" w:rsidP="00FC0CAB">
            <w:pPr>
              <w:numPr>
                <w:ilvl w:val="2"/>
                <w:numId w:val="29"/>
              </w:numPr>
              <w:spacing w:after="0" w:line="256" w:lineRule="auto"/>
              <w:ind w:left="1443"/>
              <w:jc w:val="both"/>
              <w:rPr>
                <w:i/>
                <w:sz w:val="16"/>
                <w:szCs w:val="16"/>
              </w:rPr>
            </w:pPr>
            <w:r w:rsidRPr="00543EB0">
              <w:rPr>
                <w:i/>
                <w:sz w:val="16"/>
                <w:szCs w:val="16"/>
              </w:rPr>
              <w:t>Both intra-frequency and inter-frequency</w:t>
            </w:r>
          </w:p>
          <w:p w14:paraId="46D001C9" w14:textId="77777777" w:rsidR="00FC0CAB" w:rsidRPr="00543EB0" w:rsidRDefault="00FC0CAB" w:rsidP="00FC0CAB">
            <w:pPr>
              <w:numPr>
                <w:ilvl w:val="2"/>
                <w:numId w:val="29"/>
              </w:numPr>
              <w:spacing w:after="0" w:line="256" w:lineRule="auto"/>
              <w:ind w:left="1443"/>
              <w:jc w:val="both"/>
              <w:rPr>
                <w:i/>
                <w:sz w:val="16"/>
                <w:szCs w:val="16"/>
              </w:rPr>
            </w:pPr>
            <w:r w:rsidRPr="00543EB0">
              <w:rPr>
                <w:i/>
                <w:sz w:val="16"/>
                <w:szCs w:val="16"/>
              </w:rPr>
              <w:t>Both FR1 and FR2</w:t>
            </w:r>
          </w:p>
          <w:p w14:paraId="273CCA7D" w14:textId="2A34CFC0" w:rsidR="00FC0CAB" w:rsidRPr="00543EB0" w:rsidRDefault="00FC0CAB" w:rsidP="00FC0CAB">
            <w:pPr>
              <w:numPr>
                <w:ilvl w:val="2"/>
                <w:numId w:val="29"/>
              </w:numPr>
              <w:spacing w:after="0" w:line="256" w:lineRule="auto"/>
              <w:ind w:left="1443"/>
              <w:jc w:val="both"/>
              <w:rPr>
                <w:i/>
                <w:sz w:val="16"/>
                <w:szCs w:val="16"/>
              </w:rPr>
            </w:pPr>
            <w:r w:rsidRPr="00543EB0">
              <w:rPr>
                <w:i/>
                <w:sz w:val="16"/>
                <w:szCs w:val="16"/>
              </w:rPr>
              <w:t>Source and target cells may be synchronized or non-synchronized</w:t>
            </w:r>
          </w:p>
        </w:tc>
      </w:tr>
    </w:tbl>
    <w:p w14:paraId="4854EE57" w14:textId="60D67EDE" w:rsidR="009339CB" w:rsidRDefault="00EE051D" w:rsidP="009339CB">
      <w:r>
        <w:rPr>
          <w:bCs/>
          <w:lang w:val="en-US"/>
        </w:rPr>
        <w:br/>
      </w:r>
      <w:r w:rsidR="00FC0CAB" w:rsidRPr="00543EB0">
        <w:t xml:space="preserve">In this contribution we capture the </w:t>
      </w:r>
      <w:r w:rsidR="00FC0CAB">
        <w:t>L1/</w:t>
      </w:r>
      <w:r w:rsidR="00AF6935">
        <w:t>L2</w:t>
      </w:r>
      <w:r w:rsidR="00FC0CAB">
        <w:t xml:space="preserve"> </w:t>
      </w:r>
      <w:r w:rsidR="0025712B">
        <w:t>based inter-cell</w:t>
      </w:r>
      <w:r w:rsidR="00FC0CAB">
        <w:t xml:space="preserve"> Mobility Basic Procedures Overview and we provide a qualitative and quantitative analysis of the expected performance gains.</w:t>
      </w:r>
      <w:r w:rsidR="00917768">
        <w:t xml:space="preserve"> Note that we use the term “Lower Layer Mobility” or “LLM” for short instead of the “L1/L2 based inter-cell mobility” in the WI.</w:t>
      </w:r>
    </w:p>
    <w:p w14:paraId="7D484B6E" w14:textId="18E23300" w:rsidR="009339CB" w:rsidRPr="006E13D1" w:rsidRDefault="009339CB" w:rsidP="009339CB">
      <w:pPr>
        <w:pStyle w:val="Heading1"/>
      </w:pPr>
      <w:r w:rsidRPr="006E13D1">
        <w:t>2</w:t>
      </w:r>
      <w:r w:rsidRPr="006E13D1">
        <w:tab/>
      </w:r>
      <w:r w:rsidR="0025712B">
        <w:t>Prerequisites of Lower Layer Mobility</w:t>
      </w:r>
    </w:p>
    <w:p w14:paraId="5982B445" w14:textId="1E0AB4E2" w:rsidR="009339CB" w:rsidRDefault="009339CB" w:rsidP="009339CB">
      <w:pPr>
        <w:pStyle w:val="Heading2"/>
      </w:pPr>
      <w:r>
        <w:t>2</w:t>
      </w:r>
      <w:r w:rsidRPr="006E13D1">
        <w:t>.1</w:t>
      </w:r>
      <w:r w:rsidRPr="006E13D1">
        <w:tab/>
      </w:r>
      <w:r w:rsidR="0025712B">
        <w:t>Lower Layer Mobility</w:t>
      </w:r>
      <w:r w:rsidR="0081107C">
        <w:t xml:space="preserve"> </w:t>
      </w:r>
      <w:r w:rsidR="00FC0CAB">
        <w:t>Functions</w:t>
      </w:r>
      <w:r w:rsidR="00594550">
        <w:t xml:space="preserve"> and Phase Split</w:t>
      </w:r>
    </w:p>
    <w:p w14:paraId="3BE38728" w14:textId="7A675DD9" w:rsidR="00FC0CAB" w:rsidRDefault="00FC0CAB" w:rsidP="000C66DD">
      <w:pPr>
        <w:jc w:val="both"/>
      </w:pPr>
      <w:r>
        <w:t xml:space="preserve">The </w:t>
      </w:r>
      <w:r w:rsidR="0025712B">
        <w:t>Lower Layer Mobility</w:t>
      </w:r>
      <w:r>
        <w:t xml:space="preserve"> is based on L1 measurements that are provided by the UE to the serving DU. According to the objective 1 of the WI, the purpose is to provide and maintain the configuration of multiple candidate cells to apply the fast application of each configuration. </w:t>
      </w:r>
    </w:p>
    <w:p w14:paraId="202589F8" w14:textId="0216F5A7" w:rsidR="00594550" w:rsidRDefault="00594550" w:rsidP="000C66DD">
      <w:pPr>
        <w:jc w:val="both"/>
      </w:pPr>
      <w:r>
        <w:t xml:space="preserve">In the discussions during Rel.17 </w:t>
      </w:r>
      <w:proofErr w:type="spellStart"/>
      <w:r>
        <w:t>FeMIMO</w:t>
      </w:r>
      <w:proofErr w:type="spellEnd"/>
      <w:r>
        <w:t xml:space="preserve"> WI two types of </w:t>
      </w:r>
      <w:r w:rsidR="0025712B">
        <w:t>Lower Layer Mobility</w:t>
      </w:r>
      <w:r>
        <w:t xml:space="preserve"> have been discussed, one involving serving cell change and one not. The former has been excluded from the scope of Rel.17 and has been included in the </w:t>
      </w:r>
      <w:r w:rsidRPr="00594550">
        <w:t>NR_Mob_enh2</w:t>
      </w:r>
      <w:r>
        <w:t xml:space="preserve"> WI, whereas the latter has been specified in the context of Inter Cell Beam Management (ICBM). </w:t>
      </w:r>
      <w:r w:rsidR="00AF6935">
        <w:t xml:space="preserve">In the following paragraphs two approaches for </w:t>
      </w:r>
      <w:r w:rsidR="0025712B">
        <w:t>Lower Layer Mobility</w:t>
      </w:r>
      <w:r w:rsidR="00AF6935">
        <w:t xml:space="preserve"> are being analysed. In </w:t>
      </w:r>
      <w:r w:rsidR="002256AD">
        <w:t>one approach</w:t>
      </w:r>
      <w:r w:rsidR="00AF6935">
        <w:t xml:space="preserve"> the UE performs cell change without having ICBM configured before the </w:t>
      </w:r>
      <w:r w:rsidR="0025712B">
        <w:t>Lower Layer Mobility</w:t>
      </w:r>
      <w:r w:rsidR="00AF6935">
        <w:t xml:space="preserve"> whereas in the </w:t>
      </w:r>
      <w:r w:rsidR="002256AD">
        <w:t xml:space="preserve">second approach </w:t>
      </w:r>
      <w:r w:rsidR="00AF6935">
        <w:t xml:space="preserve">ICBM is configured before </w:t>
      </w:r>
      <w:r w:rsidR="0025712B">
        <w:t>Lower Layer Mobility</w:t>
      </w:r>
      <w:r w:rsidR="00AF6935">
        <w:t xml:space="preserve">.  </w:t>
      </w:r>
    </w:p>
    <w:p w14:paraId="4965E683" w14:textId="45DAAB7C" w:rsidR="00AF6935" w:rsidRPr="00EA0A15" w:rsidRDefault="0025712B" w:rsidP="00696A59">
      <w:pPr>
        <w:pStyle w:val="Heading3"/>
      </w:pPr>
      <w:r>
        <w:t>Lower Layer Mobility</w:t>
      </w:r>
      <w:r w:rsidR="00AF6935" w:rsidRPr="00EA0A15">
        <w:t xml:space="preserve"> with</w:t>
      </w:r>
      <w:r w:rsidR="00AF6935">
        <w:t>out</w:t>
      </w:r>
      <w:r w:rsidR="00AF6935" w:rsidRPr="00EA0A15">
        <w:t xml:space="preserve"> ICBM </w:t>
      </w:r>
      <w:r w:rsidR="00AF6935">
        <w:t>applied prior to mobility</w:t>
      </w:r>
    </w:p>
    <w:p w14:paraId="53270826" w14:textId="6D770329" w:rsidR="00594550" w:rsidRDefault="00594550" w:rsidP="000C66DD">
      <w:pPr>
        <w:jc w:val="both"/>
      </w:pPr>
      <w:r>
        <w:t>As mentioned above</w:t>
      </w:r>
      <w:r w:rsidR="000C66DD">
        <w:t>,</w:t>
      </w:r>
      <w:r>
        <w:t xml:space="preserve"> </w:t>
      </w:r>
      <w:r w:rsidR="0025712B">
        <w:t>Lower Layer Mobility</w:t>
      </w:r>
      <w:r>
        <w:t xml:space="preserve"> requires the provision of the target cell configurations in advance. Figure </w:t>
      </w:r>
      <w:r w:rsidR="001C6F24">
        <w:t>1</w:t>
      </w:r>
      <w:r>
        <w:t xml:space="preserve"> provides a </w:t>
      </w:r>
      <w:r w:rsidR="00AD0F3B">
        <w:t xml:space="preserve">draft, </w:t>
      </w:r>
      <w:r>
        <w:t>high-level implementation for such procedure</w:t>
      </w:r>
      <w:r w:rsidR="000C66DD">
        <w:t xml:space="preserve"> considering only the early provision of the configurations of the candidate target cells</w:t>
      </w:r>
      <w:r>
        <w:t>. The procedure is split in three phases, namely Preparation, Execution, and Completion. Each phase is described below:</w:t>
      </w:r>
    </w:p>
    <w:p w14:paraId="47A65EAA" w14:textId="03D2B9A8" w:rsidR="00C53F86" w:rsidRPr="00543EB0" w:rsidRDefault="0022274D" w:rsidP="000C66DD">
      <w:pPr>
        <w:pStyle w:val="ListParagraph"/>
        <w:numPr>
          <w:ilvl w:val="0"/>
          <w:numId w:val="30"/>
        </w:numPr>
        <w:jc w:val="both"/>
        <w:rPr>
          <w:b/>
        </w:rPr>
      </w:pPr>
      <w:r w:rsidRPr="00543EB0">
        <w:rPr>
          <w:b/>
        </w:rPr>
        <w:lastRenderedPageBreak/>
        <w:t>Preparation Phase</w:t>
      </w:r>
    </w:p>
    <w:p w14:paraId="45F3B4C5" w14:textId="3A68822A" w:rsidR="0022274D" w:rsidRPr="00543EB0" w:rsidRDefault="0022274D" w:rsidP="000C66DD">
      <w:pPr>
        <w:pStyle w:val="ListParagraph"/>
        <w:numPr>
          <w:ilvl w:val="0"/>
          <w:numId w:val="31"/>
        </w:numPr>
        <w:jc w:val="both"/>
      </w:pPr>
      <w:r w:rsidRPr="00543EB0">
        <w:t xml:space="preserve">In step 1-2, the UE sends </w:t>
      </w:r>
      <w:r w:rsidR="00FB0419" w:rsidRPr="00543EB0">
        <w:t xml:space="preserve">a </w:t>
      </w:r>
      <w:r w:rsidRPr="00543EB0">
        <w:t xml:space="preserve">measurement report containing </w:t>
      </w:r>
      <w:r w:rsidR="00F3299B">
        <w:t>the measurements of serving and target cell(s)</w:t>
      </w:r>
      <w:r w:rsidRPr="00543EB0">
        <w:t xml:space="preserve">. </w:t>
      </w:r>
    </w:p>
    <w:p w14:paraId="1B94D73C" w14:textId="5A80B005" w:rsidR="0022274D" w:rsidRPr="00543EB0" w:rsidRDefault="0022274D" w:rsidP="000C66DD">
      <w:pPr>
        <w:pStyle w:val="ListParagraph"/>
        <w:numPr>
          <w:ilvl w:val="0"/>
          <w:numId w:val="31"/>
        </w:numPr>
        <w:jc w:val="both"/>
      </w:pPr>
      <w:r w:rsidRPr="00543EB0">
        <w:t>Using the reported measurements, the CU can identify a potential set of candidate target cells to which the UE can be handed over to</w:t>
      </w:r>
      <w:r w:rsidR="00941F28" w:rsidRPr="00543EB0">
        <w:t xml:space="preserve"> (step </w:t>
      </w:r>
      <w:r w:rsidR="00546AAE" w:rsidRPr="00543EB0">
        <w:t>3</w:t>
      </w:r>
      <w:r w:rsidR="00941F28" w:rsidRPr="00543EB0">
        <w:t>)</w:t>
      </w:r>
      <w:r w:rsidRPr="00543EB0">
        <w:t xml:space="preserve">. In this example, the CU identifies candidate target cells that are served by </w:t>
      </w:r>
      <w:r w:rsidR="007E356F" w:rsidRPr="00543EB0">
        <w:t>either s</w:t>
      </w:r>
      <w:r w:rsidR="00941F28" w:rsidRPr="00543EB0">
        <w:t>ource</w:t>
      </w:r>
      <w:r w:rsidRPr="00543EB0">
        <w:t xml:space="preserve"> DU </w:t>
      </w:r>
      <w:r w:rsidR="007E356F" w:rsidRPr="00543EB0">
        <w:t xml:space="preserve">or </w:t>
      </w:r>
      <w:r w:rsidRPr="00543EB0">
        <w:t>another DU</w:t>
      </w:r>
      <w:r w:rsidR="00941F28" w:rsidRPr="00543EB0">
        <w:t xml:space="preserve"> (i.e., </w:t>
      </w:r>
      <w:r w:rsidR="007E356F" w:rsidRPr="00543EB0">
        <w:t>t</w:t>
      </w:r>
      <w:r w:rsidR="00941F28" w:rsidRPr="00543EB0">
        <w:t>arget DU)</w:t>
      </w:r>
      <w:r w:rsidRPr="00543EB0">
        <w:t xml:space="preserve"> </w:t>
      </w:r>
      <w:r w:rsidR="00BB12C5" w:rsidRPr="00543EB0">
        <w:t>which are</w:t>
      </w:r>
      <w:r w:rsidRPr="00543EB0">
        <w:t xml:space="preserve"> controlled by the same CU.</w:t>
      </w:r>
    </w:p>
    <w:p w14:paraId="262C4D26" w14:textId="09C13AD4" w:rsidR="00C22A10" w:rsidRPr="00543EB0" w:rsidRDefault="0022274D" w:rsidP="00C22A10">
      <w:pPr>
        <w:pStyle w:val="ListParagraph"/>
        <w:numPr>
          <w:ilvl w:val="0"/>
          <w:numId w:val="31"/>
        </w:numPr>
        <w:jc w:val="both"/>
      </w:pPr>
      <w:r w:rsidRPr="00543EB0">
        <w:t xml:space="preserve">In step </w:t>
      </w:r>
      <w:r w:rsidR="00546AAE" w:rsidRPr="00543EB0">
        <w:t>4</w:t>
      </w:r>
      <w:r w:rsidR="003D4CC3" w:rsidRPr="00543EB0">
        <w:t>, the CU requests the preparation of a candidate target cell controlled by the target DU by sending UE Context Setup Request message.​</w:t>
      </w:r>
      <w:r w:rsidR="00C22A10" w:rsidRPr="00543EB0">
        <w:t xml:space="preserve"> In step 5, the target DU provide</w:t>
      </w:r>
      <w:r w:rsidR="00B636D8" w:rsidRPr="00543EB0">
        <w:t>s</w:t>
      </w:r>
      <w:r w:rsidR="00C22A10" w:rsidRPr="00543EB0">
        <w:t xml:space="preserve"> the configuration of the UE in UE Context Setup Response messages, respectively, containing a container from DU to CU. The configuration may contain UE-specific and non</w:t>
      </w:r>
      <w:r w:rsidR="00B87414" w:rsidRPr="00543EB0">
        <w:t>-</w:t>
      </w:r>
      <w:r w:rsidR="00C22A10" w:rsidRPr="00543EB0">
        <w:t>UE-specific parts.</w:t>
      </w:r>
    </w:p>
    <w:p w14:paraId="1A2229D1" w14:textId="1C8D4F08" w:rsidR="0022274D" w:rsidRPr="00543EB0" w:rsidRDefault="0022274D" w:rsidP="000C66DD">
      <w:pPr>
        <w:pStyle w:val="ListParagraph"/>
        <w:numPr>
          <w:ilvl w:val="0"/>
          <w:numId w:val="31"/>
        </w:numPr>
        <w:jc w:val="both"/>
      </w:pPr>
      <w:r w:rsidRPr="00543EB0">
        <w:t xml:space="preserve">In step </w:t>
      </w:r>
      <w:r w:rsidR="008C4803" w:rsidRPr="00543EB0">
        <w:t>5</w:t>
      </w:r>
      <w:r w:rsidRPr="00543EB0">
        <w:t xml:space="preserve"> the CU requests the preparation of a candidate target cell controlled by </w:t>
      </w:r>
      <w:r w:rsidR="00AF6935" w:rsidRPr="00543EB0">
        <w:t xml:space="preserve">the </w:t>
      </w:r>
      <w:r w:rsidR="007E356F" w:rsidRPr="00543EB0">
        <w:t>s</w:t>
      </w:r>
      <w:r w:rsidR="00546AAE" w:rsidRPr="00543EB0">
        <w:t xml:space="preserve">ource </w:t>
      </w:r>
      <w:r w:rsidR="00AF6935" w:rsidRPr="00543EB0">
        <w:t>DU by sending UE Context Modification Request message.</w:t>
      </w:r>
      <w:r w:rsidR="008C4803" w:rsidRPr="00543EB0">
        <w:t xml:space="preserve"> Similarly, the </w:t>
      </w:r>
      <w:r w:rsidR="00EC75C8" w:rsidRPr="00543EB0">
        <w:t>s</w:t>
      </w:r>
      <w:r w:rsidR="00546AAE" w:rsidRPr="00543EB0">
        <w:t xml:space="preserve">ource DU </w:t>
      </w:r>
      <w:r w:rsidRPr="00543EB0">
        <w:t>provide</w:t>
      </w:r>
      <w:r w:rsidR="008C4803" w:rsidRPr="00543EB0">
        <w:t>s</w:t>
      </w:r>
      <w:r w:rsidRPr="00543EB0">
        <w:t xml:space="preserve"> the configuration of the UE in UE Context </w:t>
      </w:r>
      <w:r w:rsidR="00AF6935" w:rsidRPr="00543EB0">
        <w:t xml:space="preserve">Modification </w:t>
      </w:r>
      <w:r w:rsidR="00910513" w:rsidRPr="00543EB0">
        <w:t xml:space="preserve">Response </w:t>
      </w:r>
      <w:r w:rsidRPr="00543EB0">
        <w:t>message</w:t>
      </w:r>
      <w:r w:rsidR="000A3B37" w:rsidRPr="00543EB0">
        <w:t xml:space="preserve"> </w:t>
      </w:r>
      <w:r w:rsidRPr="00543EB0">
        <w:t xml:space="preserve">containing a container from DU to CU. </w:t>
      </w:r>
      <w:r w:rsidR="00AD0F3B" w:rsidRPr="00543EB0">
        <w:t>The configuration may contain UE</w:t>
      </w:r>
      <w:r w:rsidR="00336162" w:rsidRPr="00543EB0">
        <w:t>-</w:t>
      </w:r>
      <w:r w:rsidR="00AD0F3B" w:rsidRPr="00543EB0">
        <w:t>specific and non</w:t>
      </w:r>
      <w:r w:rsidR="00B87414" w:rsidRPr="00543EB0">
        <w:rPr>
          <w:bCs/>
        </w:rPr>
        <w:t>-</w:t>
      </w:r>
      <w:r w:rsidR="00AD0F3B" w:rsidRPr="00543EB0">
        <w:t>UE</w:t>
      </w:r>
      <w:r w:rsidR="00336162" w:rsidRPr="00543EB0">
        <w:t>-</w:t>
      </w:r>
      <w:r w:rsidR="00AD0F3B" w:rsidRPr="00543EB0">
        <w:t>specific</w:t>
      </w:r>
      <w:r w:rsidR="00336162" w:rsidRPr="00543EB0">
        <w:t xml:space="preserve"> parts.</w:t>
      </w:r>
    </w:p>
    <w:p w14:paraId="2058FDA0" w14:textId="741D98DB" w:rsidR="0022274D" w:rsidRPr="00543EB0" w:rsidRDefault="0022274D" w:rsidP="000C66DD">
      <w:pPr>
        <w:pStyle w:val="ListParagraph"/>
        <w:numPr>
          <w:ilvl w:val="0"/>
          <w:numId w:val="31"/>
        </w:numPr>
        <w:jc w:val="both"/>
      </w:pPr>
      <w:r w:rsidRPr="00543EB0">
        <w:t>Having received the UE configurations for the candidate target cell(s), the CU generates an RRC Reconfiguration </w:t>
      </w:r>
      <w:r w:rsidR="00910513" w:rsidRPr="00543EB0">
        <w:t xml:space="preserve">(step 8) </w:t>
      </w:r>
      <w:r w:rsidRPr="00543EB0">
        <w:t xml:space="preserve">that is sent to the UE in step </w:t>
      </w:r>
      <w:r w:rsidR="00546AAE" w:rsidRPr="00543EB0">
        <w:t>9/10</w:t>
      </w:r>
      <w:r w:rsidRPr="00543EB0">
        <w:t>. Among other information, the RRC Reconfiguration message contains:​</w:t>
      </w:r>
    </w:p>
    <w:p w14:paraId="11069841" w14:textId="5E246E6C" w:rsidR="0022274D" w:rsidRPr="00543EB0" w:rsidRDefault="0022274D" w:rsidP="000C66DD">
      <w:pPr>
        <w:pStyle w:val="ListParagraph"/>
        <w:numPr>
          <w:ilvl w:val="1"/>
          <w:numId w:val="32"/>
        </w:numPr>
        <w:jc w:val="both"/>
      </w:pPr>
      <w:r w:rsidRPr="0022274D">
        <w:rPr>
          <w:bCs/>
        </w:rPr>
        <w:t>Measurement reporting configuration for L1/</w:t>
      </w:r>
      <w:r w:rsidR="00AF6935">
        <w:rPr>
          <w:bCs/>
        </w:rPr>
        <w:t>L2</w:t>
      </w:r>
      <w:r w:rsidRPr="0022274D">
        <w:rPr>
          <w:bCs/>
        </w:rPr>
        <w:t> </w:t>
      </w:r>
      <w:r w:rsidR="002256AD">
        <w:rPr>
          <w:bCs/>
        </w:rPr>
        <w:t>mobility</w:t>
      </w:r>
      <w:r w:rsidRPr="0022274D">
        <w:rPr>
          <w:bCs/>
        </w:rPr>
        <w:t>, i.e., configuration on how to report the L1 beam measurements of serving and target cells.​</w:t>
      </w:r>
    </w:p>
    <w:p w14:paraId="6A239761" w14:textId="309A3E11" w:rsidR="0022274D" w:rsidRPr="00543EB0" w:rsidRDefault="0022274D" w:rsidP="000C66DD">
      <w:pPr>
        <w:pStyle w:val="ListParagraph"/>
        <w:numPr>
          <w:ilvl w:val="1"/>
          <w:numId w:val="32"/>
        </w:numPr>
        <w:jc w:val="both"/>
      </w:pPr>
      <w:r w:rsidRPr="0022274D">
        <w:rPr>
          <w:bCs/>
        </w:rPr>
        <w:t>Configuration of the prepared candidate cell(s) which the UE needs to execute when it receives a</w:t>
      </w:r>
      <w:r w:rsidR="00546AAE">
        <w:rPr>
          <w:bCs/>
        </w:rPr>
        <w:t xml:space="preserve"> </w:t>
      </w:r>
      <w:r w:rsidR="00B737E2">
        <w:rPr>
          <w:bCs/>
        </w:rPr>
        <w:t>L2</w:t>
      </w:r>
      <w:r w:rsidRPr="0022274D">
        <w:rPr>
          <w:bCs/>
        </w:rPr>
        <w:t xml:space="preserve"> command to change the serving cell (perform handover).​</w:t>
      </w:r>
    </w:p>
    <w:p w14:paraId="466C71F4" w14:textId="298ACA62" w:rsidR="0022274D" w:rsidRPr="00543EB0" w:rsidRDefault="0022274D" w:rsidP="000C66DD">
      <w:pPr>
        <w:pStyle w:val="ListParagraph"/>
        <w:numPr>
          <w:ilvl w:val="0"/>
          <w:numId w:val="31"/>
        </w:numPr>
        <w:jc w:val="both"/>
      </w:pPr>
      <w:r w:rsidRPr="00543EB0">
        <w:t xml:space="preserve">The UE confirms the RRC Reconfiguration to the network in step </w:t>
      </w:r>
      <w:r w:rsidR="00546AAE" w:rsidRPr="00543EB0">
        <w:t>11/12</w:t>
      </w:r>
      <w:r w:rsidRPr="00543EB0">
        <w:t>.​</w:t>
      </w:r>
    </w:p>
    <w:p w14:paraId="0439A908" w14:textId="296C9A6C" w:rsidR="0022274D" w:rsidRPr="00543EB0" w:rsidRDefault="0022274D" w:rsidP="000C66DD">
      <w:pPr>
        <w:pStyle w:val="ListParagraph"/>
        <w:numPr>
          <w:ilvl w:val="0"/>
          <w:numId w:val="30"/>
        </w:numPr>
        <w:jc w:val="both"/>
        <w:rPr>
          <w:b/>
        </w:rPr>
      </w:pPr>
      <w:r w:rsidRPr="00543EB0">
        <w:rPr>
          <w:b/>
        </w:rPr>
        <w:t>Execution Phase</w:t>
      </w:r>
    </w:p>
    <w:p w14:paraId="60842051" w14:textId="2E7DF72E" w:rsidR="0022274D" w:rsidRPr="00543EB0" w:rsidRDefault="0022274D" w:rsidP="000C66DD">
      <w:pPr>
        <w:pStyle w:val="ListParagraph"/>
        <w:numPr>
          <w:ilvl w:val="0"/>
          <w:numId w:val="31"/>
        </w:numPr>
        <w:jc w:val="both"/>
      </w:pPr>
      <w:r w:rsidRPr="00543EB0">
        <w:t xml:space="preserve">After confirming the RRC Reconfiguration to the network, the UE starts to report the L1 beam measurement of serving and candidate target cells as shown in step </w:t>
      </w:r>
      <w:r w:rsidR="00B737E2" w:rsidRPr="00543EB0">
        <w:t>13</w:t>
      </w:r>
      <w:r w:rsidRPr="00543EB0">
        <w:t>.​</w:t>
      </w:r>
    </w:p>
    <w:p w14:paraId="61404FE2" w14:textId="31806FA9" w:rsidR="0022274D" w:rsidRPr="00543EB0" w:rsidRDefault="0022274D" w:rsidP="000C66DD">
      <w:pPr>
        <w:pStyle w:val="ListParagraph"/>
        <w:numPr>
          <w:ilvl w:val="0"/>
          <w:numId w:val="31"/>
        </w:numPr>
        <w:jc w:val="both"/>
      </w:pPr>
      <w:r w:rsidRPr="00543EB0">
        <w:t>​Upon determining that there is a target candidate cell having a better radio link/beam measurement than the serving cell</w:t>
      </w:r>
      <w:r w:rsidR="00B737E2" w:rsidRPr="00543EB0">
        <w:t xml:space="preserve"> (step 14)</w:t>
      </w:r>
      <w:r w:rsidRPr="00543EB0">
        <w:t xml:space="preserve">, e.g., L1-RSRP of target beam measurement &gt; L1-RSRP of serving beam measurement + Offset for a </w:t>
      </w:r>
      <w:r w:rsidR="00827347" w:rsidRPr="00543EB0">
        <w:t xml:space="preserve">time </w:t>
      </w:r>
      <w:r w:rsidR="00BA5372" w:rsidRPr="00543EB0">
        <w:t xml:space="preserve">period </w:t>
      </w:r>
      <w:r w:rsidR="00052453" w:rsidRPr="00543EB0">
        <w:t>(i.e.</w:t>
      </w:r>
      <w:r w:rsidRPr="00543EB0">
        <w:t> Time-to-Trigger (TTT)</w:t>
      </w:r>
      <w:r w:rsidR="00052453" w:rsidRPr="00543EB0">
        <w:t xml:space="preserve"> period</w:t>
      </w:r>
      <w:r w:rsidRPr="00543EB0">
        <w:t xml:space="preserve">), the serving cell sends a MAC Control Element (MAC CE) in step </w:t>
      </w:r>
      <w:r w:rsidR="00B737E2" w:rsidRPr="00543EB0">
        <w:t>15</w:t>
      </w:r>
      <w:r w:rsidRPr="00543EB0">
        <w:t> to trigger the cell change to the target candidate cell.​</w:t>
      </w:r>
      <w:r w:rsidR="00B737E2" w:rsidRPr="00543EB0">
        <w:t xml:space="preserve"> </w:t>
      </w:r>
    </w:p>
    <w:p w14:paraId="02F60CF5" w14:textId="2CF0C68D" w:rsidR="0022274D" w:rsidRPr="00543EB0" w:rsidRDefault="0022274D" w:rsidP="000C66DD">
      <w:pPr>
        <w:pStyle w:val="ListParagraph"/>
        <w:numPr>
          <w:ilvl w:val="0"/>
          <w:numId w:val="31"/>
        </w:numPr>
        <w:jc w:val="both"/>
      </w:pPr>
      <w:r w:rsidRPr="00543EB0">
        <w:t xml:space="preserve">​The handover from serving cell to target cell is executed by the UE in step </w:t>
      </w:r>
      <w:r w:rsidR="00B737E2" w:rsidRPr="00543EB0">
        <w:t>16-</w:t>
      </w:r>
      <w:r w:rsidR="00C6635A" w:rsidRPr="00543EB0">
        <w:t>19</w:t>
      </w:r>
      <w:r w:rsidRPr="00543EB0">
        <w:t xml:space="preserve">. Both RACH and RACH-less based cell change </w:t>
      </w:r>
      <w:r w:rsidR="00B737E2" w:rsidRPr="00543EB0">
        <w:t>should be</w:t>
      </w:r>
      <w:r w:rsidRPr="00543EB0">
        <w:t xml:space="preserve"> considered.​</w:t>
      </w:r>
    </w:p>
    <w:p w14:paraId="20636EEB" w14:textId="4DCF9EFA" w:rsidR="0022274D" w:rsidRPr="00543EB0" w:rsidRDefault="0022274D" w:rsidP="000C66DD">
      <w:pPr>
        <w:pStyle w:val="ListParagraph"/>
        <w:numPr>
          <w:ilvl w:val="0"/>
          <w:numId w:val="30"/>
        </w:numPr>
        <w:jc w:val="both"/>
        <w:rPr>
          <w:b/>
        </w:rPr>
      </w:pPr>
      <w:r w:rsidRPr="00543EB0">
        <w:rPr>
          <w:b/>
        </w:rPr>
        <w:t>Completion Phase</w:t>
      </w:r>
    </w:p>
    <w:p w14:paraId="6FA5AA96" w14:textId="422679AB" w:rsidR="0022274D" w:rsidRPr="00543EB0" w:rsidRDefault="0022274D" w:rsidP="000C66DD">
      <w:pPr>
        <w:pStyle w:val="ListParagraph"/>
        <w:numPr>
          <w:ilvl w:val="0"/>
          <w:numId w:val="31"/>
        </w:numPr>
        <w:jc w:val="both"/>
      </w:pPr>
      <w:r w:rsidRPr="00543EB0">
        <w:t>UE context is released from the source DU</w:t>
      </w:r>
      <w:r w:rsidR="00B737E2" w:rsidRPr="00543EB0">
        <w:t xml:space="preserve"> (steps 20-21)</w:t>
      </w:r>
      <w:r w:rsidRPr="00543EB0">
        <w:t>.​</w:t>
      </w:r>
    </w:p>
    <w:p w14:paraId="04575CE8" w14:textId="64604EAA" w:rsidR="0022274D" w:rsidRPr="00543EB0" w:rsidRDefault="0022274D" w:rsidP="000C66DD">
      <w:pPr>
        <w:pStyle w:val="ListParagraph"/>
        <w:numPr>
          <w:ilvl w:val="0"/>
          <w:numId w:val="31"/>
        </w:numPr>
        <w:jc w:val="both"/>
      </w:pPr>
      <w:r w:rsidRPr="00543EB0">
        <w:t>​Path switch is performed to the new serving DU</w:t>
      </w:r>
      <w:r w:rsidR="00C6635A" w:rsidRPr="00543EB0">
        <w:t xml:space="preserve"> (step 22)</w:t>
      </w:r>
      <w:r w:rsidRPr="00543EB0">
        <w:t>.​</w:t>
      </w:r>
      <w:r w:rsidR="00B737E2" w:rsidRPr="00543EB0">
        <w:t xml:space="preserve"> </w:t>
      </w:r>
    </w:p>
    <w:p w14:paraId="4AB1BBCD" w14:textId="1F45AB56" w:rsidR="00B737E2" w:rsidRPr="00543EB0" w:rsidRDefault="00B737E2" w:rsidP="000C66DD">
      <w:pPr>
        <w:pStyle w:val="ListParagraph"/>
        <w:ind w:left="928"/>
        <w:jc w:val="both"/>
      </w:pPr>
    </w:p>
    <w:p w14:paraId="1286FBCC" w14:textId="03064E80" w:rsidR="0022274D" w:rsidRPr="00543EB0" w:rsidRDefault="00B737E2" w:rsidP="000C66DD">
      <w:pPr>
        <w:pStyle w:val="ListParagraph"/>
        <w:ind w:left="928"/>
        <w:jc w:val="both"/>
        <w:rPr>
          <w:i/>
        </w:rPr>
      </w:pPr>
      <w:r w:rsidRPr="00543EB0">
        <w:rPr>
          <w:i/>
        </w:rPr>
        <w:t xml:space="preserve">Note: </w:t>
      </w:r>
      <w:r w:rsidR="5FC8EC12" w:rsidRPr="00543EB0">
        <w:rPr>
          <w:i/>
        </w:rPr>
        <w:t>The completion phase is not expected to be impacted in Rel. 18 similar to previous NR mobility enhancements of Rel. 16 and 17.​</w:t>
      </w:r>
    </w:p>
    <w:p w14:paraId="3112CBF1" w14:textId="77777777" w:rsidR="0022274D" w:rsidRPr="00543EB0" w:rsidRDefault="0022274D" w:rsidP="009339CB">
      <w:pPr>
        <w:rPr>
          <w:b/>
          <w:highlight w:val="yellow"/>
        </w:rPr>
      </w:pPr>
    </w:p>
    <w:p w14:paraId="738CDB4E" w14:textId="67190594" w:rsidR="00342442" w:rsidRDefault="00C76EB6" w:rsidP="00342442">
      <w:pPr>
        <w:keepNext/>
        <w:jc w:val="center"/>
      </w:pPr>
      <w:r w:rsidRPr="00543EB0">
        <w:rPr>
          <w:b/>
        </w:rPr>
        <w:object w:dxaOrig="11910" w:dyaOrig="14300" w14:anchorId="68632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3pt" o:ole="">
            <v:imagedata r:id="rId13" o:title=""/>
          </v:shape>
          <o:OLEObject Type="Embed" ProgID="Mscgen.Chart" ShapeID="_x0000_i1025" DrawAspect="Content" ObjectID="_1721629620" r:id="rId14"/>
        </w:object>
      </w:r>
    </w:p>
    <w:p w14:paraId="3FF269DE" w14:textId="44836897" w:rsidR="0022274D" w:rsidRDefault="00342442" w:rsidP="00342442">
      <w:pPr>
        <w:pStyle w:val="Caption"/>
        <w:jc w:val="center"/>
      </w:pPr>
      <w:bookmarkStart w:id="0" w:name="_Hlk110001867"/>
      <w:r>
        <w:t xml:space="preserve">Figure </w:t>
      </w:r>
      <w:r w:rsidRPr="00166B75">
        <w:fldChar w:fldCharType="begin"/>
      </w:r>
      <w:r>
        <w:instrText>SEQ Figure \* ARABIC</w:instrText>
      </w:r>
      <w:r w:rsidRPr="00166B75">
        <w:fldChar w:fldCharType="separate"/>
      </w:r>
      <w:r w:rsidR="002A4A90">
        <w:rPr>
          <w:noProof/>
        </w:rPr>
        <w:t>1</w:t>
      </w:r>
      <w:r w:rsidRPr="00166B75">
        <w:fldChar w:fldCharType="end"/>
      </w:r>
      <w:r w:rsidR="00C6635A">
        <w:t xml:space="preserve">: Draft </w:t>
      </w:r>
      <w:r w:rsidR="0025712B">
        <w:t>Lower Layer Mobility</w:t>
      </w:r>
      <w:r w:rsidR="00C6635A">
        <w:t xml:space="preserve"> based on </w:t>
      </w:r>
      <w:r w:rsidR="00BA5372">
        <w:t>e</w:t>
      </w:r>
      <w:r w:rsidR="00C6635A">
        <w:t xml:space="preserve">arly </w:t>
      </w:r>
      <w:r w:rsidR="00BA5372">
        <w:t>p</w:t>
      </w:r>
      <w:r w:rsidR="00C6635A">
        <w:t>rovision of target cell configurations</w:t>
      </w:r>
    </w:p>
    <w:bookmarkEnd w:id="0"/>
    <w:p w14:paraId="13CB745A" w14:textId="3DAC97F5" w:rsidR="00AF6935" w:rsidRPr="00EA0A15" w:rsidRDefault="0025712B" w:rsidP="00B50E7E">
      <w:pPr>
        <w:pStyle w:val="Heading3"/>
      </w:pPr>
      <w:r>
        <w:t>Lower Layer Mobility</w:t>
      </w:r>
      <w:r w:rsidR="00AF6935" w:rsidRPr="00EA0A15">
        <w:t xml:space="preserve"> with ICBM </w:t>
      </w:r>
      <w:r w:rsidR="00AF6935">
        <w:t>applied prior to mobility</w:t>
      </w:r>
    </w:p>
    <w:p w14:paraId="04C0054A" w14:textId="057980D8" w:rsidR="000C66DD" w:rsidRDefault="000C66DD" w:rsidP="000C66DD">
      <w:pPr>
        <w:jc w:val="both"/>
      </w:pPr>
      <w:r>
        <w:t xml:space="preserve">One alternative to the above description could be based on the use of ICBM as starting point for the </w:t>
      </w:r>
      <w:r w:rsidR="0025712B">
        <w:t>Lower Layer Mobility</w:t>
      </w:r>
      <w:r>
        <w:t xml:space="preserve">. Figure </w:t>
      </w:r>
      <w:r w:rsidR="001C6F24">
        <w:t>2</w:t>
      </w:r>
      <w:r>
        <w:t xml:space="preserve"> provides a draft, high-level implementation for such procedure considering only ICBM configuration before triggering the </w:t>
      </w:r>
      <w:r w:rsidR="0025712B">
        <w:t>Lower Layer Mobility</w:t>
      </w:r>
      <w:r w:rsidR="002F1B1B">
        <w:t>. It should be noted that Figure</w:t>
      </w:r>
      <w:r w:rsidR="001C6F24">
        <w:t>2</w:t>
      </w:r>
      <w:r w:rsidR="002F1B1B">
        <w:t xml:space="preserve"> considers ICBM and </w:t>
      </w:r>
      <w:r w:rsidR="0025712B">
        <w:t>Lower Layer Mobility</w:t>
      </w:r>
      <w:r w:rsidR="002F1B1B">
        <w:t xml:space="preserve"> inter operation for Intra DU case, since ICBM is defined only for intra-DU case in Rel.17.</w:t>
      </w:r>
    </w:p>
    <w:p w14:paraId="3EA988D3" w14:textId="1DB7FC2E" w:rsidR="009C74C2" w:rsidRPr="00543EB0" w:rsidRDefault="009C74C2" w:rsidP="009C74C2">
      <w:pPr>
        <w:pStyle w:val="ListParagraph"/>
        <w:numPr>
          <w:ilvl w:val="0"/>
          <w:numId w:val="30"/>
        </w:numPr>
        <w:jc w:val="both"/>
        <w:rPr>
          <w:b/>
        </w:rPr>
      </w:pPr>
      <w:r w:rsidRPr="00543EB0">
        <w:rPr>
          <w:b/>
        </w:rPr>
        <w:t>Preparation Phase</w:t>
      </w:r>
    </w:p>
    <w:p w14:paraId="08F2CBAA" w14:textId="2EFA2DB2" w:rsidR="009C74C2" w:rsidRPr="00543EB0" w:rsidRDefault="009C74C2" w:rsidP="009C74C2">
      <w:pPr>
        <w:pStyle w:val="ListParagraph"/>
        <w:numPr>
          <w:ilvl w:val="0"/>
          <w:numId w:val="31"/>
        </w:numPr>
        <w:jc w:val="both"/>
      </w:pPr>
      <w:r w:rsidRPr="00543EB0">
        <w:t xml:space="preserve">In step 1-2, the UE sends </w:t>
      </w:r>
      <w:r w:rsidR="00FB0419" w:rsidRPr="00543EB0">
        <w:t xml:space="preserve">a </w:t>
      </w:r>
      <w:r w:rsidRPr="00543EB0">
        <w:t xml:space="preserve">measurement report containing </w:t>
      </w:r>
      <w:r w:rsidR="00AE0794">
        <w:t>the measurements of serving and target cell(s)</w:t>
      </w:r>
      <w:r w:rsidRPr="00543EB0">
        <w:t xml:space="preserve">. </w:t>
      </w:r>
    </w:p>
    <w:p w14:paraId="657BF765" w14:textId="1F005E24" w:rsidR="009C74C2" w:rsidRPr="00543EB0" w:rsidRDefault="009C74C2" w:rsidP="009C74C2">
      <w:pPr>
        <w:pStyle w:val="ListParagraph"/>
        <w:numPr>
          <w:ilvl w:val="0"/>
          <w:numId w:val="31"/>
        </w:numPr>
        <w:jc w:val="both"/>
      </w:pPr>
      <w:r w:rsidRPr="00543EB0">
        <w:lastRenderedPageBreak/>
        <w:t xml:space="preserve">Using the reported measurements, the CU can identify a potential set of candidate target cells for ICBM and </w:t>
      </w:r>
      <w:r w:rsidR="0025712B" w:rsidRPr="00543EB0">
        <w:t>Lower Layer Mobility</w:t>
      </w:r>
      <w:r w:rsidRPr="00543EB0">
        <w:t xml:space="preserve"> (step 3).</w:t>
      </w:r>
    </w:p>
    <w:p w14:paraId="4713F887" w14:textId="6C284286" w:rsidR="00504491" w:rsidRPr="00543EB0" w:rsidRDefault="00504491" w:rsidP="00504491">
      <w:pPr>
        <w:pStyle w:val="ListParagraph"/>
        <w:numPr>
          <w:ilvl w:val="0"/>
          <w:numId w:val="31"/>
        </w:numPr>
        <w:jc w:val="both"/>
      </w:pPr>
      <w:r w:rsidRPr="00543EB0">
        <w:t xml:space="preserve">In step 4, the CU requests the preparation of a candidate target cell controlled by the target DU by sending UE Context Setup Request message and receiving a UE Context Setup Response.​ The Response contains the TCI states’ configuration and the measurement configuration for ICBM and for </w:t>
      </w:r>
      <w:r w:rsidR="0025712B" w:rsidRPr="00543EB0">
        <w:t>Lower Layer Mobility</w:t>
      </w:r>
      <w:r w:rsidRPr="00543EB0">
        <w:t>.</w:t>
      </w:r>
    </w:p>
    <w:p w14:paraId="5FCED833" w14:textId="49AEDEFE" w:rsidR="009C74C2" w:rsidRPr="00543EB0" w:rsidRDefault="009C74C2" w:rsidP="009C74C2">
      <w:pPr>
        <w:pStyle w:val="ListParagraph"/>
        <w:numPr>
          <w:ilvl w:val="0"/>
          <w:numId w:val="31"/>
        </w:numPr>
        <w:jc w:val="both"/>
      </w:pPr>
      <w:r w:rsidRPr="00543EB0">
        <w:t xml:space="preserve">In step </w:t>
      </w:r>
      <w:r w:rsidR="00504491" w:rsidRPr="00543EB0">
        <w:t>5</w:t>
      </w:r>
      <w:r w:rsidRPr="00543EB0">
        <w:t xml:space="preserve">, the CU requests the preparation of a candidate target cell controlled by </w:t>
      </w:r>
      <w:r w:rsidR="00DF3089" w:rsidRPr="00543EB0">
        <w:t xml:space="preserve">the </w:t>
      </w:r>
      <w:r w:rsidR="007E356F" w:rsidRPr="00543EB0">
        <w:t>s</w:t>
      </w:r>
      <w:r w:rsidRPr="00543EB0">
        <w:t xml:space="preserve">ource DU by sending UE Context </w:t>
      </w:r>
      <w:r w:rsidR="00DF3089" w:rsidRPr="00543EB0">
        <w:t>Modification</w:t>
      </w:r>
      <w:r w:rsidRPr="00543EB0">
        <w:t xml:space="preserve"> Request message and receiving a UE Context </w:t>
      </w:r>
      <w:r w:rsidR="00DF3089" w:rsidRPr="00543EB0">
        <w:t>Modification</w:t>
      </w:r>
      <w:r w:rsidRPr="00543EB0">
        <w:t xml:space="preserve"> Response.​ The Response contains the TCI states’ configuration and the measurement configuration for ICBM and for </w:t>
      </w:r>
      <w:r w:rsidR="0025712B" w:rsidRPr="00543EB0">
        <w:t>Lower Layer Mobility</w:t>
      </w:r>
      <w:r w:rsidRPr="00543EB0">
        <w:t>.</w:t>
      </w:r>
    </w:p>
    <w:p w14:paraId="028A7C01" w14:textId="54AD8313" w:rsidR="00DF3089" w:rsidRPr="00543EB0" w:rsidRDefault="009C74C2" w:rsidP="00DF3089">
      <w:pPr>
        <w:pStyle w:val="ListParagraph"/>
        <w:numPr>
          <w:ilvl w:val="0"/>
          <w:numId w:val="31"/>
        </w:numPr>
        <w:jc w:val="both"/>
      </w:pPr>
      <w:r w:rsidRPr="00543EB0">
        <w:t xml:space="preserve">In step 5, the CU </w:t>
      </w:r>
      <w:r w:rsidR="00DF3089" w:rsidRPr="00543EB0">
        <w:t xml:space="preserve">requests the preparation of a candidate target cell controlled by the </w:t>
      </w:r>
      <w:r w:rsidR="007E356F" w:rsidRPr="00543EB0">
        <w:t>t</w:t>
      </w:r>
      <w:r w:rsidR="00DF3089" w:rsidRPr="00543EB0">
        <w:t xml:space="preserve">arget DU by sending UE Context Setup Request message and receiving a UE Context Setup Response.​ The Response contains the TCI states’ configuration and the measurement configuration for ICBM and for </w:t>
      </w:r>
      <w:r w:rsidR="0025712B" w:rsidRPr="00543EB0">
        <w:t>Lower Layer Mobility</w:t>
      </w:r>
      <w:r w:rsidR="00DF3089" w:rsidRPr="00543EB0">
        <w:t>.</w:t>
      </w:r>
    </w:p>
    <w:p w14:paraId="130666FD" w14:textId="7C3030E2" w:rsidR="009C74C2" w:rsidRPr="00543EB0" w:rsidRDefault="009C74C2" w:rsidP="00CB74A1">
      <w:pPr>
        <w:pStyle w:val="ListParagraph"/>
        <w:numPr>
          <w:ilvl w:val="0"/>
          <w:numId w:val="31"/>
        </w:numPr>
        <w:jc w:val="both"/>
      </w:pPr>
      <w:r w:rsidRPr="00543EB0">
        <w:t xml:space="preserve">In step </w:t>
      </w:r>
      <w:r w:rsidR="00DF3089" w:rsidRPr="00543EB0">
        <w:t>6</w:t>
      </w:r>
      <w:r w:rsidRPr="00543EB0">
        <w:t xml:space="preserve">, the CU prepares the RRC Configurations of the </w:t>
      </w:r>
      <w:r w:rsidR="00EC75C8" w:rsidRPr="00543EB0">
        <w:t>s</w:t>
      </w:r>
      <w:r w:rsidRPr="00543EB0">
        <w:t xml:space="preserve">erving </w:t>
      </w:r>
      <w:r w:rsidR="00EC75C8" w:rsidRPr="00543EB0">
        <w:t>c</w:t>
      </w:r>
      <w:r w:rsidRPr="00543EB0">
        <w:t>ell for ICBM and th</w:t>
      </w:r>
      <w:r w:rsidR="00315883" w:rsidRPr="00543EB0">
        <w:t>at</w:t>
      </w:r>
      <w:r w:rsidRPr="00543EB0">
        <w:t xml:space="preserve"> of the </w:t>
      </w:r>
      <w:r w:rsidR="007E356F" w:rsidRPr="00543EB0">
        <w:t>t</w:t>
      </w:r>
      <w:r w:rsidRPr="00543EB0">
        <w:t xml:space="preserve">arget </w:t>
      </w:r>
      <w:r w:rsidR="00EC75C8" w:rsidRPr="00543EB0">
        <w:t>c</w:t>
      </w:r>
      <w:r w:rsidRPr="00543EB0">
        <w:t xml:space="preserve">ell for </w:t>
      </w:r>
      <w:r w:rsidR="0025712B" w:rsidRPr="00543EB0">
        <w:t>Lower Layer Mobility</w:t>
      </w:r>
      <w:r w:rsidRPr="00543EB0">
        <w:t>.</w:t>
      </w:r>
      <w:r w:rsidR="00CB74A1" w:rsidRPr="00543EB0">
        <w:t xml:space="preserve"> The CU </w:t>
      </w:r>
      <w:r w:rsidRPr="00543EB0">
        <w:t xml:space="preserve">generates </w:t>
      </w:r>
      <w:r w:rsidR="00CB74A1" w:rsidRPr="00543EB0">
        <w:t>the</w:t>
      </w:r>
      <w:r w:rsidRPr="00543EB0">
        <w:t xml:space="preserve"> RRC Reconfiguration that is sent to the UE in step </w:t>
      </w:r>
      <w:r w:rsidR="00CB74A1" w:rsidRPr="00543EB0">
        <w:t>7</w:t>
      </w:r>
      <w:r w:rsidRPr="00543EB0">
        <w:t>/</w:t>
      </w:r>
      <w:r w:rsidR="00DF3089" w:rsidRPr="00543EB0">
        <w:t>8</w:t>
      </w:r>
      <w:r w:rsidRPr="00543EB0">
        <w:t>. Among other information, the RRC Reconfiguration message contains:​</w:t>
      </w:r>
    </w:p>
    <w:p w14:paraId="5EBC3D56" w14:textId="0C68DEFC" w:rsidR="00CB74A1" w:rsidRPr="00CB74A1" w:rsidRDefault="00CB74A1" w:rsidP="00CB74A1">
      <w:pPr>
        <w:pStyle w:val="ListParagraph"/>
        <w:numPr>
          <w:ilvl w:val="1"/>
          <w:numId w:val="32"/>
        </w:numPr>
        <w:jc w:val="both"/>
        <w:rPr>
          <w:bCs/>
        </w:rPr>
      </w:pPr>
      <w:r w:rsidRPr="00543EB0">
        <w:t xml:space="preserve">Configuration of the </w:t>
      </w:r>
      <w:r w:rsidR="007E356F" w:rsidRPr="00543EB0">
        <w:t>s</w:t>
      </w:r>
      <w:r w:rsidRPr="00543EB0">
        <w:t xml:space="preserve">ource </w:t>
      </w:r>
      <w:r w:rsidR="00EC75C8" w:rsidRPr="00543EB0">
        <w:t>c</w:t>
      </w:r>
      <w:r w:rsidRPr="00543EB0">
        <w:t xml:space="preserve">ell containing </w:t>
      </w:r>
      <w:r w:rsidRPr="00CB74A1">
        <w:rPr>
          <w:bCs/>
        </w:rPr>
        <w:t xml:space="preserve">the TCI states of the </w:t>
      </w:r>
      <w:r w:rsidR="007E356F">
        <w:rPr>
          <w:bCs/>
        </w:rPr>
        <w:t>t</w:t>
      </w:r>
      <w:r w:rsidRPr="00CB74A1">
        <w:rPr>
          <w:bCs/>
        </w:rPr>
        <w:t xml:space="preserve">arget </w:t>
      </w:r>
      <w:r w:rsidR="00EC75C8">
        <w:rPr>
          <w:bCs/>
        </w:rPr>
        <w:t>c</w:t>
      </w:r>
      <w:r w:rsidRPr="00CB74A1">
        <w:rPr>
          <w:bCs/>
        </w:rPr>
        <w:t>ell</w:t>
      </w:r>
      <w:r>
        <w:rPr>
          <w:bCs/>
        </w:rPr>
        <w:t xml:space="preserve"> for ICBM</w:t>
      </w:r>
    </w:p>
    <w:p w14:paraId="77A9A9A9" w14:textId="1267ADE2" w:rsidR="009C74C2" w:rsidRPr="00CB74A1" w:rsidRDefault="009C74C2" w:rsidP="009C74C2">
      <w:pPr>
        <w:pStyle w:val="ListParagraph"/>
        <w:numPr>
          <w:ilvl w:val="1"/>
          <w:numId w:val="32"/>
        </w:numPr>
        <w:jc w:val="both"/>
      </w:pPr>
      <w:r>
        <w:t>Measurement reporting configuration for L1/</w:t>
      </w:r>
      <w:r w:rsidR="4B60ECCB">
        <w:t>L2</w:t>
      </w:r>
      <w:r>
        <w:t xml:space="preserve"> handover, i.e., configuration on how to report the L1 beam measurements of </w:t>
      </w:r>
      <w:r w:rsidR="00CB74A1">
        <w:t xml:space="preserve">source </w:t>
      </w:r>
      <w:r>
        <w:t>and target cells.​</w:t>
      </w:r>
    </w:p>
    <w:p w14:paraId="42DEA99D" w14:textId="2D6EE0AF" w:rsidR="009C74C2" w:rsidRPr="00CB74A1" w:rsidRDefault="009C74C2" w:rsidP="009C74C2">
      <w:pPr>
        <w:pStyle w:val="ListParagraph"/>
        <w:numPr>
          <w:ilvl w:val="1"/>
          <w:numId w:val="32"/>
        </w:numPr>
        <w:jc w:val="both"/>
        <w:rPr>
          <w:bCs/>
        </w:rPr>
      </w:pPr>
      <w:r w:rsidRPr="0022274D">
        <w:rPr>
          <w:bCs/>
        </w:rPr>
        <w:t xml:space="preserve">Configuration of the prepared candidate cell(s) which the UE needs to execute when it receives </w:t>
      </w:r>
      <w:r>
        <w:rPr>
          <w:bCs/>
        </w:rPr>
        <w:t xml:space="preserve">a L2 command </w:t>
      </w:r>
      <w:r w:rsidRPr="0022274D">
        <w:rPr>
          <w:bCs/>
        </w:rPr>
        <w:t xml:space="preserve">to change the </w:t>
      </w:r>
      <w:r w:rsidR="007E356F">
        <w:rPr>
          <w:bCs/>
        </w:rPr>
        <w:t>s</w:t>
      </w:r>
      <w:r w:rsidR="00CB74A1">
        <w:rPr>
          <w:bCs/>
        </w:rPr>
        <w:t xml:space="preserve">ource </w:t>
      </w:r>
      <w:r w:rsidR="00EC75C8">
        <w:rPr>
          <w:bCs/>
        </w:rPr>
        <w:t>c</w:t>
      </w:r>
      <w:r w:rsidR="00CB74A1">
        <w:rPr>
          <w:bCs/>
        </w:rPr>
        <w:t>ell</w:t>
      </w:r>
      <w:r w:rsidRPr="0022274D">
        <w:rPr>
          <w:bCs/>
        </w:rPr>
        <w:t> (perform handover).​</w:t>
      </w:r>
    </w:p>
    <w:p w14:paraId="731DB131" w14:textId="4DC731DD" w:rsidR="009C74C2" w:rsidRPr="00543EB0" w:rsidRDefault="009C74C2" w:rsidP="009C74C2">
      <w:pPr>
        <w:pStyle w:val="ListParagraph"/>
        <w:numPr>
          <w:ilvl w:val="0"/>
          <w:numId w:val="31"/>
        </w:numPr>
        <w:jc w:val="both"/>
      </w:pPr>
      <w:r w:rsidRPr="00543EB0">
        <w:t xml:space="preserve">The UE confirms the RRC Reconfiguration to the network in step </w:t>
      </w:r>
      <w:r w:rsidR="00CB74A1" w:rsidRPr="00543EB0">
        <w:t>9</w:t>
      </w:r>
      <w:r w:rsidRPr="00543EB0">
        <w:t>/</w:t>
      </w:r>
      <w:r w:rsidR="00DF3089" w:rsidRPr="00543EB0">
        <w:t>10</w:t>
      </w:r>
      <w:r w:rsidRPr="00543EB0">
        <w:t>.​</w:t>
      </w:r>
    </w:p>
    <w:p w14:paraId="552397BD" w14:textId="77777777" w:rsidR="009C74C2" w:rsidRPr="00543EB0" w:rsidRDefault="009C74C2" w:rsidP="009C74C2">
      <w:pPr>
        <w:pStyle w:val="ListParagraph"/>
        <w:numPr>
          <w:ilvl w:val="0"/>
          <w:numId w:val="30"/>
        </w:numPr>
        <w:jc w:val="both"/>
        <w:rPr>
          <w:b/>
        </w:rPr>
      </w:pPr>
      <w:r w:rsidRPr="00543EB0">
        <w:rPr>
          <w:b/>
        </w:rPr>
        <w:t>Execution Phase</w:t>
      </w:r>
    </w:p>
    <w:p w14:paraId="51812013" w14:textId="6DD0C99E" w:rsidR="009C74C2" w:rsidRPr="00543EB0" w:rsidRDefault="009C74C2" w:rsidP="009C74C2">
      <w:pPr>
        <w:pStyle w:val="ListParagraph"/>
        <w:numPr>
          <w:ilvl w:val="0"/>
          <w:numId w:val="31"/>
        </w:numPr>
        <w:jc w:val="both"/>
      </w:pPr>
      <w:r w:rsidRPr="00543EB0">
        <w:t xml:space="preserve">After confirming the RRC Reconfiguration to the network, the UE starts to report periodically the L1 beam measurement of serving and candidate target cells as shown in step </w:t>
      </w:r>
      <w:r w:rsidR="00DF3089" w:rsidRPr="00543EB0">
        <w:t>11</w:t>
      </w:r>
      <w:r w:rsidRPr="00543EB0">
        <w:t>.​</w:t>
      </w:r>
    </w:p>
    <w:p w14:paraId="218C4E9E" w14:textId="2BB0A6F9" w:rsidR="00CB74A1" w:rsidRPr="00543EB0" w:rsidRDefault="00CB74A1" w:rsidP="009C74C2">
      <w:pPr>
        <w:pStyle w:val="ListParagraph"/>
        <w:numPr>
          <w:ilvl w:val="0"/>
          <w:numId w:val="31"/>
        </w:numPr>
        <w:jc w:val="both"/>
      </w:pPr>
      <w:r w:rsidRPr="00543EB0">
        <w:t xml:space="preserve">The DU may decide to perform ICBM between the </w:t>
      </w:r>
      <w:r w:rsidR="00BE5F1E" w:rsidRPr="00543EB0">
        <w:t>s</w:t>
      </w:r>
      <w:r w:rsidRPr="00543EB0">
        <w:t xml:space="preserve">ource </w:t>
      </w:r>
      <w:r w:rsidR="00EC75C8" w:rsidRPr="00543EB0">
        <w:t>c</w:t>
      </w:r>
      <w:r w:rsidRPr="00543EB0">
        <w:t xml:space="preserve">ell and the </w:t>
      </w:r>
      <w:r w:rsidR="00BE5F1E" w:rsidRPr="00543EB0">
        <w:t>t</w:t>
      </w:r>
      <w:r w:rsidRPr="00543EB0">
        <w:t xml:space="preserve">arget </w:t>
      </w:r>
      <w:r w:rsidR="00EC75C8" w:rsidRPr="00543EB0">
        <w:t>c</w:t>
      </w:r>
      <w:r w:rsidRPr="00543EB0">
        <w:t xml:space="preserve">ell (step </w:t>
      </w:r>
      <w:r w:rsidR="00DF3089" w:rsidRPr="00543EB0">
        <w:t>12</w:t>
      </w:r>
      <w:r w:rsidRPr="00543EB0">
        <w:t xml:space="preserve">) and it triggers ICBM using a MAC CE (step </w:t>
      </w:r>
      <w:r w:rsidR="00DF3089" w:rsidRPr="00543EB0">
        <w:t>13</w:t>
      </w:r>
      <w:r w:rsidRPr="00543EB0">
        <w:t xml:space="preserve">). Then the UE switches to ICBM operation using </w:t>
      </w:r>
      <w:r w:rsidR="0002469A" w:rsidRPr="00543EB0">
        <w:t xml:space="preserve">source cell </w:t>
      </w:r>
      <w:r w:rsidRPr="00543EB0">
        <w:t xml:space="preserve">as serving cell and the target cell for the reception of the UE dedicated </w:t>
      </w:r>
      <w:r w:rsidR="00F6724D" w:rsidRPr="00543EB0">
        <w:t xml:space="preserve">physical layer </w:t>
      </w:r>
      <w:r w:rsidRPr="00543EB0">
        <w:t xml:space="preserve">channels (step </w:t>
      </w:r>
      <w:r w:rsidR="00DF3089" w:rsidRPr="00543EB0">
        <w:t>14</w:t>
      </w:r>
      <w:r w:rsidRPr="00543EB0">
        <w:t>). During ICBM the UE continues to report periodically the L1 beam measurement of serving and candidate target cells.</w:t>
      </w:r>
    </w:p>
    <w:p w14:paraId="61B860C0" w14:textId="3386EC97" w:rsidR="009C74C2" w:rsidRPr="00543EB0" w:rsidRDefault="009C74C2" w:rsidP="009C74C2">
      <w:pPr>
        <w:pStyle w:val="ListParagraph"/>
        <w:numPr>
          <w:ilvl w:val="0"/>
          <w:numId w:val="31"/>
        </w:numPr>
        <w:jc w:val="both"/>
      </w:pPr>
      <w:r w:rsidRPr="00543EB0">
        <w:t>​</w:t>
      </w:r>
      <w:r w:rsidR="009C4075" w:rsidRPr="00543EB0">
        <w:t xml:space="preserve">Using the L1 beam measurements the DU may decide that the </w:t>
      </w:r>
      <w:r w:rsidRPr="00543EB0">
        <w:t xml:space="preserve">target candidate cell </w:t>
      </w:r>
      <w:r w:rsidR="009C4075" w:rsidRPr="00543EB0">
        <w:t xml:space="preserve">has </w:t>
      </w:r>
      <w:r w:rsidRPr="00543EB0">
        <w:t xml:space="preserve">a better radio link/beam measurement than the serving cell (step </w:t>
      </w:r>
      <w:r w:rsidR="00DF3089" w:rsidRPr="00543EB0">
        <w:t>15</w:t>
      </w:r>
      <w:r w:rsidRPr="00543EB0">
        <w:t>), e.g., L1-RSRP of target beam measurement &gt; L1-RSRP of serving beam measurement + Offset for a</w:t>
      </w:r>
      <w:r w:rsidR="00BE5F1E" w:rsidRPr="00543EB0">
        <w:t xml:space="preserve"> period </w:t>
      </w:r>
      <w:r w:rsidRPr="00543EB0">
        <w:t>of time e.g., Time-to-Trigger (TTT)</w:t>
      </w:r>
      <w:r w:rsidR="009C4075" w:rsidRPr="00543EB0">
        <w:t xml:space="preserve"> and decides that serving cell change is required</w:t>
      </w:r>
      <w:r w:rsidRPr="00543EB0">
        <w:t xml:space="preserve"> </w:t>
      </w:r>
      <w:r w:rsidR="008A4059" w:rsidRPr="00543EB0">
        <w:t>and</w:t>
      </w:r>
      <w:r w:rsidRPr="00543EB0">
        <w:t xml:space="preserve"> trigger</w:t>
      </w:r>
      <w:r w:rsidR="008A4059" w:rsidRPr="00543EB0">
        <w:t>s</w:t>
      </w:r>
      <w:r w:rsidRPr="00543EB0">
        <w:t xml:space="preserve"> the change </w:t>
      </w:r>
      <w:r w:rsidR="009C4075" w:rsidRPr="00543EB0">
        <w:t>of the serving cell</w:t>
      </w:r>
      <w:r w:rsidRPr="00543EB0">
        <w:t xml:space="preserve">.​ </w:t>
      </w:r>
    </w:p>
    <w:p w14:paraId="79649C82" w14:textId="2933D9DA" w:rsidR="009C74C2" w:rsidRPr="00543EB0" w:rsidRDefault="009C74C2" w:rsidP="009C74C2">
      <w:pPr>
        <w:pStyle w:val="ListParagraph"/>
        <w:numPr>
          <w:ilvl w:val="0"/>
          <w:numId w:val="31"/>
        </w:numPr>
        <w:jc w:val="both"/>
      </w:pPr>
      <w:r w:rsidRPr="00543EB0">
        <w:t xml:space="preserve">​The handover from serving cell to target cell is executed by the UE in step </w:t>
      </w:r>
      <w:r w:rsidR="00DF3089" w:rsidRPr="00543EB0">
        <w:t>17</w:t>
      </w:r>
      <w:r w:rsidRPr="00543EB0">
        <w:t>-</w:t>
      </w:r>
      <w:r w:rsidR="00DF3089" w:rsidRPr="00543EB0">
        <w:t>20</w:t>
      </w:r>
      <w:r w:rsidRPr="00543EB0">
        <w:t>. Both RACH and RACH-less based cell change should be considered.​</w:t>
      </w:r>
    </w:p>
    <w:p w14:paraId="23D5239C" w14:textId="77777777" w:rsidR="009C74C2" w:rsidRPr="00543EB0" w:rsidRDefault="009C74C2" w:rsidP="009C74C2">
      <w:pPr>
        <w:pStyle w:val="ListParagraph"/>
        <w:numPr>
          <w:ilvl w:val="0"/>
          <w:numId w:val="30"/>
        </w:numPr>
        <w:jc w:val="both"/>
        <w:rPr>
          <w:b/>
        </w:rPr>
      </w:pPr>
      <w:r w:rsidRPr="00543EB0">
        <w:rPr>
          <w:b/>
        </w:rPr>
        <w:t>Completion Phase</w:t>
      </w:r>
    </w:p>
    <w:p w14:paraId="42C3DF3B" w14:textId="7FD84A71" w:rsidR="009C74C2" w:rsidRPr="00543EB0" w:rsidRDefault="009C74C2" w:rsidP="009C74C2">
      <w:pPr>
        <w:pStyle w:val="ListParagraph"/>
        <w:numPr>
          <w:ilvl w:val="0"/>
          <w:numId w:val="31"/>
        </w:numPr>
        <w:jc w:val="both"/>
      </w:pPr>
      <w:r w:rsidRPr="00543EB0">
        <w:t xml:space="preserve">UE context is released </w:t>
      </w:r>
      <w:r w:rsidR="009C4075" w:rsidRPr="00543EB0">
        <w:t>for the</w:t>
      </w:r>
      <w:r w:rsidRPr="00543EB0">
        <w:t xml:space="preserve"> </w:t>
      </w:r>
      <w:r w:rsidR="007E356F" w:rsidRPr="00543EB0">
        <w:t>s</w:t>
      </w:r>
      <w:r w:rsidR="009C4075" w:rsidRPr="00543EB0">
        <w:t xml:space="preserve">ource </w:t>
      </w:r>
      <w:r w:rsidR="00EC75C8" w:rsidRPr="00543EB0">
        <w:t>c</w:t>
      </w:r>
      <w:r w:rsidR="009C4075" w:rsidRPr="00543EB0">
        <w:t xml:space="preserve">ell from the </w:t>
      </w:r>
      <w:r w:rsidRPr="00543EB0">
        <w:t>DU (steps 20).​</w:t>
      </w:r>
    </w:p>
    <w:p w14:paraId="4A565AE3" w14:textId="7FD84A71" w:rsidR="000C66DD" w:rsidRPr="00543EB0" w:rsidRDefault="009C74C2" w:rsidP="000C66DD">
      <w:pPr>
        <w:jc w:val="both"/>
      </w:pPr>
      <w:r w:rsidRPr="00543EB0">
        <w:t>​</w:t>
      </w:r>
    </w:p>
    <w:p w14:paraId="422CFCF5" w14:textId="15334269" w:rsidR="002F1B1B" w:rsidRDefault="00FB5A3C" w:rsidP="002F1B1B">
      <w:pPr>
        <w:keepNext/>
        <w:jc w:val="center"/>
      </w:pPr>
      <w:r w:rsidRPr="00543EB0">
        <w:rPr>
          <w:b/>
        </w:rPr>
        <w:object w:dxaOrig="10800" w:dyaOrig="14500" w14:anchorId="631026C6">
          <v:shape id="_x0000_i1026" type="#_x0000_t75" style="width:411pt;height:550.5pt" o:ole="">
            <v:imagedata r:id="rId15" o:title=""/>
          </v:shape>
          <o:OLEObject Type="Embed" ProgID="Mscgen.Chart" ShapeID="_x0000_i1026" DrawAspect="Content" ObjectID="_1721629621" r:id="rId16"/>
        </w:object>
      </w:r>
    </w:p>
    <w:p w14:paraId="3396FA6A" w14:textId="512DED50" w:rsidR="000C66DD" w:rsidRDefault="002F1B1B" w:rsidP="002F1B1B">
      <w:pPr>
        <w:pStyle w:val="Caption"/>
        <w:jc w:val="center"/>
      </w:pPr>
      <w:r>
        <w:t xml:space="preserve">Figure </w:t>
      </w:r>
      <w:r w:rsidRPr="00737D00">
        <w:fldChar w:fldCharType="begin"/>
      </w:r>
      <w:r>
        <w:instrText>SEQ Figure \* ARABIC</w:instrText>
      </w:r>
      <w:r w:rsidRPr="00737D00">
        <w:fldChar w:fldCharType="separate"/>
      </w:r>
      <w:r>
        <w:rPr>
          <w:noProof/>
        </w:rPr>
        <w:t>2</w:t>
      </w:r>
      <w:r w:rsidRPr="00737D00">
        <w:fldChar w:fldCharType="end"/>
      </w:r>
      <w:r>
        <w:t xml:space="preserve">: Draft </w:t>
      </w:r>
      <w:r w:rsidR="0025712B">
        <w:t>Lower Layer Mobility</w:t>
      </w:r>
      <w:r>
        <w:t xml:space="preserve"> based on Early Provision of target cell configurations and ICBM</w:t>
      </w:r>
    </w:p>
    <w:p w14:paraId="215B63C3" w14:textId="17E1FEA6" w:rsidR="002F1B1B" w:rsidRDefault="002F1B1B" w:rsidP="000332DA">
      <w:pPr>
        <w:jc w:val="both"/>
      </w:pPr>
      <w:r w:rsidRPr="002F1B1B">
        <w:rPr>
          <w:b/>
          <w:bCs/>
        </w:rPr>
        <w:t>Observation 1:</w:t>
      </w:r>
      <w:r>
        <w:t xml:space="preserve"> Using ICBM as mandatory precondition for </w:t>
      </w:r>
      <w:r w:rsidR="0025712B">
        <w:t>Lower Layer Mobility</w:t>
      </w:r>
      <w:r>
        <w:t xml:space="preserve"> does not provide any gains regarding the </w:t>
      </w:r>
      <w:r w:rsidR="00337911">
        <w:t>p</w:t>
      </w:r>
      <w:r>
        <w:t xml:space="preserve">reparation phase. </w:t>
      </w:r>
    </w:p>
    <w:p w14:paraId="30C3A601" w14:textId="7FD20F72" w:rsidR="002F1B1B" w:rsidRDefault="002F1B1B" w:rsidP="002F1B1B">
      <w:pPr>
        <w:jc w:val="both"/>
      </w:pPr>
      <w:r w:rsidRPr="002F1B1B">
        <w:rPr>
          <w:b/>
          <w:bCs/>
        </w:rPr>
        <w:t xml:space="preserve">Observation </w:t>
      </w:r>
      <w:r>
        <w:rPr>
          <w:b/>
          <w:bCs/>
        </w:rPr>
        <w:t>2</w:t>
      </w:r>
      <w:r w:rsidRPr="002F1B1B">
        <w:rPr>
          <w:b/>
          <w:bCs/>
        </w:rPr>
        <w:t>:</w:t>
      </w:r>
      <w:r>
        <w:t xml:space="preserve"> ICBM in Rel. 17 is defined for intra DU scenarios, whereas </w:t>
      </w:r>
      <w:r w:rsidR="0025712B">
        <w:t>Lower Layer Mobility</w:t>
      </w:r>
      <w:r>
        <w:t xml:space="preserve"> according to </w:t>
      </w:r>
      <w:r w:rsidRPr="00594550">
        <w:t>NR_Mob_enh2</w:t>
      </w:r>
      <w:r>
        <w:t xml:space="preserve"> WI should be defined for both intra and inter DU scenarios. If ICBM is mandatory for </w:t>
      </w:r>
      <w:r w:rsidR="0025712B">
        <w:t>Lower Layer Mobility</w:t>
      </w:r>
      <w:r>
        <w:t xml:space="preserve"> (for intra DU) this would require the development of two</w:t>
      </w:r>
      <w:r w:rsidRPr="002F1B1B">
        <w:t xml:space="preserve"> </w:t>
      </w:r>
      <w:r w:rsidR="0025712B">
        <w:t>Lower Layer Mobility</w:t>
      </w:r>
      <w:r>
        <w:t xml:space="preserve"> solutions. </w:t>
      </w:r>
    </w:p>
    <w:p w14:paraId="4A25BA39" w14:textId="10758D06" w:rsidR="002F1B1B" w:rsidRPr="002F1B1B" w:rsidRDefault="002F1B1B" w:rsidP="000332DA">
      <w:pPr>
        <w:jc w:val="both"/>
      </w:pPr>
      <w:r w:rsidRPr="000332DA">
        <w:rPr>
          <w:b/>
          <w:bCs/>
        </w:rPr>
        <w:t>Proposal 1:</w:t>
      </w:r>
      <w:r w:rsidRPr="002F1B1B">
        <w:t xml:space="preserve"> </w:t>
      </w:r>
      <w:r w:rsidR="00CE014C">
        <w:t>Rel.17 ICBM is not prerequisite</w:t>
      </w:r>
      <w:r w:rsidRPr="000332DA">
        <w:t xml:space="preserve"> </w:t>
      </w:r>
      <w:r w:rsidR="00CE014C">
        <w:t>for</w:t>
      </w:r>
      <w:r>
        <w:t xml:space="preserve"> using </w:t>
      </w:r>
      <w:r w:rsidR="0025712B">
        <w:t>Lower Layer Mobility</w:t>
      </w:r>
      <w:r>
        <w:t>.</w:t>
      </w:r>
    </w:p>
    <w:p w14:paraId="29D23217" w14:textId="1C0BA1C9" w:rsidR="002F1B1B" w:rsidRDefault="002F1B1B" w:rsidP="000332DA">
      <w:pPr>
        <w:jc w:val="both"/>
      </w:pPr>
      <w:r w:rsidRPr="000332DA">
        <w:rPr>
          <w:b/>
          <w:bCs/>
        </w:rPr>
        <w:t xml:space="preserve">Proposal </w:t>
      </w:r>
      <w:r>
        <w:rPr>
          <w:b/>
          <w:bCs/>
        </w:rPr>
        <w:t>2:</w:t>
      </w:r>
      <w:r w:rsidRPr="00543EB0">
        <w:rPr>
          <w:rFonts w:ascii="Calibri" w:hAnsi="Calibri" w:cs="Calibri"/>
          <w:sz w:val="22"/>
          <w:szCs w:val="22"/>
          <w:lang w:eastAsia="de-DE"/>
        </w:rPr>
        <w:t xml:space="preserve"> </w:t>
      </w:r>
      <w:r w:rsidR="0025712B">
        <w:t>Lower Layer Mobility</w:t>
      </w:r>
      <w:r w:rsidR="00106EF9">
        <w:t xml:space="preserve"> for </w:t>
      </w:r>
      <w:r w:rsidR="00286636">
        <w:t>i</w:t>
      </w:r>
      <w:r w:rsidR="00106EF9">
        <w:t xml:space="preserve">ntra-DU case and </w:t>
      </w:r>
      <w:r w:rsidR="00246ADE">
        <w:t>i</w:t>
      </w:r>
      <w:r w:rsidR="00106EF9">
        <w:t>nter-DU case should be as common as possible. Thus</w:t>
      </w:r>
      <w:r w:rsidR="00246ADE">
        <w:t>,</w:t>
      </w:r>
      <w:r w:rsidR="00106EF9">
        <w:t xml:space="preserve"> the relation between </w:t>
      </w:r>
      <w:r w:rsidR="0025712B">
        <w:t>Lower Layer Mobility</w:t>
      </w:r>
      <w:r w:rsidR="00106EF9">
        <w:t xml:space="preserve"> for </w:t>
      </w:r>
      <w:r w:rsidR="00246ADE">
        <w:t>i</w:t>
      </w:r>
      <w:r w:rsidR="00106EF9">
        <w:t xml:space="preserve">ntra-DU case and </w:t>
      </w:r>
      <w:r w:rsidR="00246ADE">
        <w:t>i</w:t>
      </w:r>
      <w:r w:rsidR="00106EF9">
        <w:t>nter-DU should be clarified</w:t>
      </w:r>
      <w:r w:rsidR="000332DA">
        <w:t>.</w:t>
      </w:r>
    </w:p>
    <w:p w14:paraId="6327A5E6" w14:textId="64CCF439" w:rsidR="009339CB" w:rsidRPr="006E13D1" w:rsidRDefault="000332DA" w:rsidP="00543EB0">
      <w:pPr>
        <w:jc w:val="both"/>
      </w:pPr>
      <w:r w:rsidRPr="000332DA">
        <w:rPr>
          <w:b/>
          <w:bCs/>
        </w:rPr>
        <w:lastRenderedPageBreak/>
        <w:t>Proposal 3:</w:t>
      </w:r>
      <w:r>
        <w:t xml:space="preserve"> Considering as starting point the solution of Figure </w:t>
      </w:r>
      <w:r w:rsidR="0025712B">
        <w:t>2</w:t>
      </w:r>
      <w:r>
        <w:t xml:space="preserve">, </w:t>
      </w:r>
      <w:r w:rsidR="00F9133E">
        <w:t>m</w:t>
      </w:r>
      <w:r w:rsidRPr="000332DA">
        <w:t xml:space="preserve">odification procedures are needed for </w:t>
      </w:r>
      <w:r w:rsidR="0025712B">
        <w:t>Lower Layer Mobility</w:t>
      </w:r>
      <w:r w:rsidRPr="000332DA">
        <w:t xml:space="preserve"> - similar</w:t>
      </w:r>
      <w:r w:rsidR="00975007">
        <w:t>ly</w:t>
      </w:r>
      <w:r w:rsidRPr="000332DA">
        <w:t xml:space="preserve"> to CHO and CPC</w:t>
      </w:r>
      <w:r>
        <w:t xml:space="preserve">. </w:t>
      </w:r>
    </w:p>
    <w:p w14:paraId="7342AEF1" w14:textId="7D4AAF13" w:rsidR="006D4D83" w:rsidRDefault="0081107C" w:rsidP="006D4D83">
      <w:pPr>
        <w:pStyle w:val="Heading2"/>
      </w:pPr>
      <w:r>
        <w:t>2</w:t>
      </w:r>
      <w:r w:rsidRPr="006E13D1">
        <w:t>.</w:t>
      </w:r>
      <w:r w:rsidR="00E5514C">
        <w:t>2</w:t>
      </w:r>
      <w:r w:rsidRPr="006E13D1">
        <w:tab/>
      </w:r>
      <w:r>
        <w:t xml:space="preserve">Dynamic Switching in </w:t>
      </w:r>
      <w:r w:rsidR="0025712B">
        <w:t>Lower Layer Mobility</w:t>
      </w:r>
    </w:p>
    <w:p w14:paraId="25774929" w14:textId="4907512D" w:rsidR="00490649" w:rsidRDefault="00904FD0" w:rsidP="00106EF9">
      <w:pPr>
        <w:jc w:val="both"/>
      </w:pPr>
      <w:r>
        <w:t xml:space="preserve">As the target configurations for L1/L2 mobility is prepared with reference to current serving cell, the stored configurations at UE for L1/L2 mobility are modifications over the current serving cell. When the configurations are dynamically switched after initial switching from serving cell, these configurations are not applicable for switching because the serving cell configuration is changed.  One way to avoid this issue to prepare </w:t>
      </w:r>
      <w:r w:rsidR="00052453" w:rsidRPr="00207647">
        <w:t>f</w:t>
      </w:r>
      <w:r>
        <w:t>ull-configuration for dynamic switching. But Full configuration involves reset and reconfiguration of all layers and introduces additional interruption.  So full</w:t>
      </w:r>
      <w:r w:rsidR="00207647">
        <w:t xml:space="preserve"> </w:t>
      </w:r>
      <w:r>
        <w:t xml:space="preserve">configuration as target configuration to be stored for </w:t>
      </w:r>
      <w:r w:rsidR="0025712B">
        <w:t>Lower Layer Mobility</w:t>
      </w:r>
      <w:r>
        <w:t xml:space="preserve"> is not </w:t>
      </w:r>
      <w:r w:rsidR="00332A5E">
        <w:t>efficient and hence should not be considered</w:t>
      </w:r>
      <w:r>
        <w:t xml:space="preserve">. </w:t>
      </w:r>
    </w:p>
    <w:p w14:paraId="6848E977" w14:textId="38C1F6F3" w:rsidR="00904FD0" w:rsidRDefault="00904FD0" w:rsidP="00106EF9">
      <w:pPr>
        <w:jc w:val="both"/>
      </w:pPr>
      <w:r>
        <w:t xml:space="preserve">If the cells involved in </w:t>
      </w:r>
      <w:r w:rsidR="0025712B">
        <w:t>Lower Layer Mobility</w:t>
      </w:r>
      <w:r>
        <w:t xml:space="preserve"> are within same DU, network may ensure that target configurations prepared are in such way that the modifications are done of selected parameters which are essential for serving cell change and the affected parameters are same across all the involved cells. With this preparation the UE can switch across the candidate cells from any serving cell. </w:t>
      </w:r>
    </w:p>
    <w:p w14:paraId="3415FCA3" w14:textId="042BACAF" w:rsidR="002163AE" w:rsidRDefault="002163AE" w:rsidP="00106EF9">
      <w:pPr>
        <w:jc w:val="both"/>
      </w:pPr>
      <w:r w:rsidRPr="005605B5">
        <w:rPr>
          <w:b/>
          <w:bCs/>
        </w:rPr>
        <w:t xml:space="preserve">Observation </w:t>
      </w:r>
      <w:r w:rsidR="0025712B">
        <w:rPr>
          <w:b/>
          <w:bCs/>
        </w:rPr>
        <w:t>3</w:t>
      </w:r>
      <w:r w:rsidRPr="005605B5">
        <w:rPr>
          <w:b/>
          <w:bCs/>
        </w:rPr>
        <w:t>:</w:t>
      </w:r>
      <w:r>
        <w:t xml:space="preserve"> For dynamic switching of configuration to work from any serving cell within the involved cells, the switching of configurations should </w:t>
      </w:r>
      <w:r w:rsidR="005D0919">
        <w:t xml:space="preserve">allow </w:t>
      </w:r>
      <w:r w:rsidR="00250AEC">
        <w:t>changing</w:t>
      </w:r>
      <w:r>
        <w:t xml:space="preserve"> of </w:t>
      </w:r>
      <w:r w:rsidR="00250AEC">
        <w:t>a sub-set</w:t>
      </w:r>
      <w:r>
        <w:t xml:space="preserve"> of </w:t>
      </w:r>
      <w:r w:rsidR="00250AEC">
        <w:t>the parameters</w:t>
      </w:r>
      <w:r w:rsidR="00962058">
        <w:t xml:space="preserve"> of the serving cell</w:t>
      </w:r>
      <w:r>
        <w:t>.</w:t>
      </w:r>
    </w:p>
    <w:p w14:paraId="222EB41F" w14:textId="19F14F04" w:rsidR="002163AE" w:rsidRDefault="002163AE" w:rsidP="00106EF9">
      <w:pPr>
        <w:jc w:val="both"/>
      </w:pPr>
      <w:r w:rsidRPr="005605B5">
        <w:rPr>
          <w:b/>
          <w:bCs/>
        </w:rPr>
        <w:t xml:space="preserve">Observation </w:t>
      </w:r>
      <w:r w:rsidR="0025712B">
        <w:rPr>
          <w:b/>
          <w:bCs/>
        </w:rPr>
        <w:t>4</w:t>
      </w:r>
      <w:r w:rsidRPr="005605B5">
        <w:rPr>
          <w:b/>
          <w:bCs/>
        </w:rPr>
        <w:t>:</w:t>
      </w:r>
      <w:r>
        <w:t xml:space="preserve"> Preparing target cell configuration as </w:t>
      </w:r>
      <w:r w:rsidR="008D5907" w:rsidRPr="00207647">
        <w:t>f</w:t>
      </w:r>
      <w:r w:rsidR="00D3013E">
        <w:t>ull configuration involves lower layer reset and increased interruption time even</w:t>
      </w:r>
      <w:r w:rsidR="00F11C24">
        <w:t xml:space="preserve"> </w:t>
      </w:r>
      <w:r w:rsidR="00D3013E">
        <w:t xml:space="preserve">though it </w:t>
      </w:r>
      <w:r w:rsidR="00D3013E" w:rsidRPr="00207647">
        <w:t>allow</w:t>
      </w:r>
      <w:r w:rsidR="00052453" w:rsidRPr="00207647">
        <w:t>s</w:t>
      </w:r>
      <w:r w:rsidR="00D3013E">
        <w:t xml:space="preserve"> dynamic switching without configuration mismatch.</w:t>
      </w:r>
    </w:p>
    <w:p w14:paraId="7575FDAE" w14:textId="7385EC95" w:rsidR="00904FD0" w:rsidRDefault="00D3013E" w:rsidP="00106EF9">
      <w:pPr>
        <w:jc w:val="both"/>
        <w:rPr>
          <w:b/>
          <w:bCs/>
        </w:rPr>
      </w:pPr>
      <w:r w:rsidRPr="00A507DA">
        <w:rPr>
          <w:b/>
          <w:bCs/>
        </w:rPr>
        <w:t xml:space="preserve">Proposal </w:t>
      </w:r>
      <w:r w:rsidR="0025712B">
        <w:rPr>
          <w:b/>
          <w:bCs/>
        </w:rPr>
        <w:t>4</w:t>
      </w:r>
      <w:r w:rsidRPr="00A507DA">
        <w:rPr>
          <w:b/>
          <w:bCs/>
        </w:rPr>
        <w:t xml:space="preserve">: </w:t>
      </w:r>
      <w:r w:rsidRPr="005605B5">
        <w:t xml:space="preserve">RAN2 to consider preparation of target cell configurations capable of dynamic switching without need for </w:t>
      </w:r>
      <w:r w:rsidR="008D5907" w:rsidRPr="00207647">
        <w:t>f</w:t>
      </w:r>
      <w:r w:rsidRPr="00207647">
        <w:t>ull</w:t>
      </w:r>
      <w:r w:rsidR="008D5907" w:rsidRPr="00207647">
        <w:t xml:space="preserve"> </w:t>
      </w:r>
      <w:r w:rsidRPr="005605B5">
        <w:t>configuration.</w:t>
      </w:r>
    </w:p>
    <w:p w14:paraId="78C9C079" w14:textId="64B090CB" w:rsidR="009E27DF" w:rsidRDefault="00904FD0" w:rsidP="00F6724D">
      <w:pPr>
        <w:jc w:val="both"/>
      </w:pPr>
      <w:r>
        <w:t xml:space="preserve">For L1/L2 mobility where the UE is already provisioned with configurations of target cells for </w:t>
      </w:r>
      <w:r w:rsidR="00106EF9">
        <w:t>dynamic</w:t>
      </w:r>
      <w:r>
        <w:t xml:space="preserve"> switching, </w:t>
      </w:r>
      <w:r w:rsidR="00207647" w:rsidRPr="00207647">
        <w:t xml:space="preserve">both </w:t>
      </w:r>
      <w:r>
        <w:t xml:space="preserve">the signalling procedure </w:t>
      </w:r>
      <w:r w:rsidR="00207647" w:rsidRPr="00207647">
        <w:t xml:space="preserve">and </w:t>
      </w:r>
      <w:r>
        <w:t xml:space="preserve">the methods to switch the configurations need to be analysed </w:t>
      </w:r>
      <w:r w:rsidR="00207647" w:rsidRPr="00207647">
        <w:t>to allow efficient</w:t>
      </w:r>
      <w:r>
        <w:t xml:space="preserve"> </w:t>
      </w:r>
      <w:r w:rsidR="00106EF9">
        <w:t>dynamic</w:t>
      </w:r>
      <w:r>
        <w:t xml:space="preserve"> switching with </w:t>
      </w:r>
      <w:r w:rsidR="00207647" w:rsidRPr="00207647">
        <w:t xml:space="preserve">smaller user data </w:t>
      </w:r>
      <w:r>
        <w:t>interruption</w:t>
      </w:r>
      <w:r w:rsidR="00207647" w:rsidRPr="00207647">
        <w:t xml:space="preserve"> time</w:t>
      </w:r>
      <w:r w:rsidRPr="00207647">
        <w:t>.</w:t>
      </w:r>
      <w:r>
        <w:t xml:space="preserve"> </w:t>
      </w:r>
      <w:r w:rsidR="00F6724D">
        <w:t>Configuration of Layer 1 measurements and TCI states</w:t>
      </w:r>
      <w:r w:rsidR="009E27DF">
        <w:t xml:space="preserve"> of target cells involved in L1/L2 mobility is needed along with preparation of the target cell configurations for serving cell change for both solutions. These configurations need to be maintained as base configuration which should not affected by serving cell change of lower layer mobility.</w:t>
      </w:r>
      <w:r>
        <w:t xml:space="preserve"> </w:t>
      </w:r>
      <w:r w:rsidR="009E27DF">
        <w:t xml:space="preserve"> </w:t>
      </w:r>
      <w:r w:rsidR="009E27DF" w:rsidDel="00731E1F">
        <w:t>Otherwise</w:t>
      </w:r>
      <w:r w:rsidR="00731E1F">
        <w:t>,</w:t>
      </w:r>
      <w:r w:rsidR="009E27DF">
        <w:t xml:space="preserve"> there will be RRC-Reconfiguration to modify the L1 measurements and TCI state configurations to enable switching from new cell to previous cell and other prepared cells. This modified RRC configuration should also consider minimising the signalling overhead and processing at UE for maintaining the L1 measurements and TCI state configurations of multiple target cells.</w:t>
      </w:r>
    </w:p>
    <w:p w14:paraId="3E3DF2C5" w14:textId="680C4494" w:rsidR="00342470" w:rsidRPr="006F5085" w:rsidRDefault="009E27DF" w:rsidP="00543EB0">
      <w:pPr>
        <w:jc w:val="both"/>
        <w:rPr>
          <w:b/>
          <w:bCs/>
        </w:rPr>
      </w:pPr>
      <w:r w:rsidRPr="00510F7A">
        <w:rPr>
          <w:b/>
          <w:bCs/>
        </w:rPr>
        <w:t xml:space="preserve">Proposal </w:t>
      </w:r>
      <w:r w:rsidR="0025712B">
        <w:rPr>
          <w:b/>
          <w:bCs/>
        </w:rPr>
        <w:t>5</w:t>
      </w:r>
      <w:r w:rsidRPr="00510F7A">
        <w:rPr>
          <w:b/>
          <w:bCs/>
        </w:rPr>
        <w:t xml:space="preserve">: </w:t>
      </w:r>
      <w:r w:rsidRPr="00543EB0">
        <w:t>RAN2 to consider RRC modelling to have L1 measurements and TCI state configurations of target cells as common configuration during L1/L2 mobility</w:t>
      </w:r>
      <w:r w:rsidR="00DC049A" w:rsidRPr="00543EB0">
        <w:t xml:space="preserve"> to minimize signalling overhead and improve processing efficiency at the UE</w:t>
      </w:r>
      <w:r w:rsidRPr="00543EB0">
        <w:t>.</w:t>
      </w:r>
    </w:p>
    <w:p w14:paraId="1095438F" w14:textId="6EB5F5D3" w:rsidR="0081107C" w:rsidRPr="00737D00" w:rsidRDefault="0081107C" w:rsidP="00543EB0">
      <w:pPr>
        <w:pStyle w:val="Heading1"/>
      </w:pPr>
      <w:r w:rsidRPr="00737D00">
        <w:t>3</w:t>
      </w:r>
      <w:r w:rsidRPr="00737D00">
        <w:tab/>
      </w:r>
      <w:r w:rsidRPr="00166B75">
        <w:t xml:space="preserve">Performance Analysis of </w:t>
      </w:r>
      <w:r w:rsidR="0025712B" w:rsidRPr="00543EB0">
        <w:t>Lower Layer Mobility</w:t>
      </w:r>
    </w:p>
    <w:p w14:paraId="21860628" w14:textId="7880FBD0" w:rsidR="0081107C" w:rsidRDefault="0081107C" w:rsidP="0081107C">
      <w:pPr>
        <w:pStyle w:val="Heading2"/>
      </w:pPr>
      <w:r>
        <w:t>3</w:t>
      </w:r>
      <w:r w:rsidRPr="006E13D1">
        <w:t>.</w:t>
      </w:r>
      <w:r>
        <w:t>1</w:t>
      </w:r>
      <w:r w:rsidRPr="006E13D1">
        <w:tab/>
      </w:r>
      <w:r>
        <w:t xml:space="preserve">Qualitative Expected benefits of </w:t>
      </w:r>
      <w:r w:rsidR="0025712B">
        <w:t>Lower Layer Mobility</w:t>
      </w:r>
    </w:p>
    <w:p w14:paraId="757EA348" w14:textId="7D4DE0F4" w:rsidR="003D4E9B" w:rsidRDefault="00F12748" w:rsidP="0037486A">
      <w:pPr>
        <w:jc w:val="both"/>
      </w:pPr>
      <w:r>
        <w:t xml:space="preserve">In </w:t>
      </w:r>
      <w:r w:rsidR="0025712B">
        <w:t>Lower Layer Mobility</w:t>
      </w:r>
      <w:r>
        <w:t xml:space="preserve">, the </w:t>
      </w:r>
      <w:r w:rsidR="0074578B">
        <w:t>serving cell change</w:t>
      </w:r>
      <w:r>
        <w:t xml:space="preserve"> is triggered based on L1 beam measurements instead of </w:t>
      </w:r>
      <w:r w:rsidR="00E8374B">
        <w:t xml:space="preserve">L3 cell </w:t>
      </w:r>
      <w:r w:rsidR="00787A8E">
        <w:t>power and</w:t>
      </w:r>
      <w:r w:rsidR="00E8374B">
        <w:t xml:space="preserve"> quality measurements that are configured in NR baseline handover of Rel. 15</w:t>
      </w:r>
      <w:r w:rsidR="0074578B">
        <w:t>. L3</w:t>
      </w:r>
      <w:r w:rsidR="00E8374B">
        <w:t xml:space="preserve"> cell quality measurements are reported only after some Time-to-Trigger (TTT) expires for a measurement event. </w:t>
      </w:r>
      <w:r w:rsidR="0074578B">
        <w:t>L3 measurements also filtered based on L3 configuration over multiple measurements before reporting. L1 measurements</w:t>
      </w:r>
      <w:r>
        <w:t xml:space="preserve"> ha</w:t>
      </w:r>
      <w:r w:rsidR="00B62415">
        <w:t>ve</w:t>
      </w:r>
      <w:r>
        <w:t xml:space="preserve"> the benefit that the network can react faster to radio link degradation in </w:t>
      </w:r>
      <w:r w:rsidR="00AA3273">
        <w:t>the serving link as the network can save the delay introduced by L3 filtering and TTT for the handover decision.</w:t>
      </w:r>
      <w:r w:rsidR="002F2CEB">
        <w:t xml:space="preserve"> This should result in reducing in the number of radio link failures compared to baseline handover.</w:t>
      </w:r>
      <w:r w:rsidR="00AA3273">
        <w:t xml:space="preserve"> </w:t>
      </w:r>
    </w:p>
    <w:p w14:paraId="54217361" w14:textId="2FBBE1B5" w:rsidR="003D4E9B" w:rsidRDefault="003D4E9B" w:rsidP="0037486A">
      <w:pPr>
        <w:jc w:val="both"/>
      </w:pPr>
      <w:r w:rsidRPr="0037486A">
        <w:rPr>
          <w:b/>
          <w:bCs/>
        </w:rPr>
        <w:t>Observation</w:t>
      </w:r>
      <w:r w:rsidR="00FD1BED">
        <w:rPr>
          <w:b/>
          <w:bCs/>
        </w:rPr>
        <w:t xml:space="preserve"> </w:t>
      </w:r>
      <w:r w:rsidR="0025712B">
        <w:rPr>
          <w:b/>
          <w:bCs/>
        </w:rPr>
        <w:t>5</w:t>
      </w:r>
      <w:r>
        <w:t>: Triggering the handover based on L1 beam measurements helps to mitigate the radio link degradation on the serving radio link, reduce radio link failure, and hand over the UE earlier to another cell with better radio link.</w:t>
      </w:r>
    </w:p>
    <w:p w14:paraId="0A5A982A" w14:textId="0D2EFA46" w:rsidR="0074578B" w:rsidRDefault="0074578B" w:rsidP="0037486A">
      <w:pPr>
        <w:jc w:val="both"/>
      </w:pPr>
      <w:r>
        <w:t xml:space="preserve">Another difference to L3 measurement reporting for handover or conditional handover is that the condition to trigger the execution or measurement-event for execution is set to </w:t>
      </w:r>
      <w:r w:rsidR="00261746">
        <w:t xml:space="preserve">higher value so that handover is triggered only at very good radio condition of target cell. This also introduces additional delay in switching to new cell. With L1 measurement report instantaneous measurement reports are used by DU of </w:t>
      </w:r>
      <w:proofErr w:type="spellStart"/>
      <w:r w:rsidR="00261746">
        <w:t>gNB</w:t>
      </w:r>
      <w:proofErr w:type="spellEnd"/>
      <w:r w:rsidR="00261746">
        <w:t xml:space="preserve"> to trigger the mobility at L2 level. In such cases the switching may also happen earlier than L3 execution condition thus there is possibility of UE ping-pong between cells compared to L3 based mobility.</w:t>
      </w:r>
    </w:p>
    <w:p w14:paraId="5E440CDF" w14:textId="55CEBA57" w:rsidR="00261746" w:rsidRDefault="00261746" w:rsidP="0037486A">
      <w:pPr>
        <w:jc w:val="both"/>
      </w:pPr>
      <w:r w:rsidRPr="0037486A">
        <w:rPr>
          <w:b/>
          <w:bCs/>
        </w:rPr>
        <w:lastRenderedPageBreak/>
        <w:t>Observation</w:t>
      </w:r>
      <w:r>
        <w:rPr>
          <w:b/>
          <w:bCs/>
        </w:rPr>
        <w:t xml:space="preserve"> </w:t>
      </w:r>
      <w:r w:rsidR="0025712B">
        <w:rPr>
          <w:b/>
          <w:bCs/>
        </w:rPr>
        <w:t>6</w:t>
      </w:r>
      <w:r>
        <w:t>: Triggering of handover based on instantaneous L1 measurements will lead more ping pong and consecutive switching compared to L3 based mobility.</w:t>
      </w:r>
    </w:p>
    <w:p w14:paraId="71512EA2" w14:textId="460D36C8" w:rsidR="00F12748" w:rsidRDefault="002F2CEB" w:rsidP="0037486A">
      <w:pPr>
        <w:jc w:val="both"/>
      </w:pPr>
      <w:r>
        <w:t xml:space="preserve">High number of consecutive handovers </w:t>
      </w:r>
      <w:r w:rsidR="00AA3273">
        <w:t xml:space="preserve">can impact the UE performance if it has to experience a service interruption </w:t>
      </w:r>
      <w:r>
        <w:t xml:space="preserve">each time it has to perform a cell change. Herein, the gain of reducing the outage in the serving radio link </w:t>
      </w:r>
      <w:r w:rsidR="00581FFB">
        <w:t>(</w:t>
      </w:r>
      <w:r>
        <w:t>by triggering the handover fast based on L1 beam measurements</w:t>
      </w:r>
      <w:r w:rsidR="00581FFB">
        <w:t>)</w:t>
      </w:r>
      <w:r>
        <w:t xml:space="preserve"> will be then depleted by the increased service interrupting during consecutive handover. </w:t>
      </w:r>
      <w:r w:rsidR="00FD1BED">
        <w:t>As such, it is essential that the interruption time during the handover</w:t>
      </w:r>
      <w:r w:rsidR="00581FFB">
        <w:t xml:space="preserve"> is reduced for </w:t>
      </w:r>
      <w:r w:rsidR="0025712B">
        <w:t>Lower Layer Mobility</w:t>
      </w:r>
      <w:r w:rsidR="00581FFB">
        <w:t>.</w:t>
      </w:r>
    </w:p>
    <w:p w14:paraId="198626D0" w14:textId="01EEAD67" w:rsidR="00FD1BED" w:rsidRDefault="00FD1BED" w:rsidP="0037486A">
      <w:pPr>
        <w:jc w:val="both"/>
      </w:pPr>
      <w:r w:rsidRPr="0037486A">
        <w:rPr>
          <w:b/>
          <w:bCs/>
        </w:rPr>
        <w:t xml:space="preserve">Observation </w:t>
      </w:r>
      <w:r w:rsidR="0025712B">
        <w:rPr>
          <w:b/>
          <w:bCs/>
        </w:rPr>
        <w:t>7</w:t>
      </w:r>
      <w:r w:rsidRPr="0037486A">
        <w:rPr>
          <w:b/>
          <w:bCs/>
        </w:rPr>
        <w:t>:</w:t>
      </w:r>
      <w:r>
        <w:t xml:space="preserve"> Minimizing the service interruption during handover essential to lessen the impact of increased ping-pongs (or consecutive handovers) in </w:t>
      </w:r>
      <w:r w:rsidR="0025712B">
        <w:t>Lower Layer Mobility</w:t>
      </w:r>
      <w:r>
        <w:t>.</w:t>
      </w:r>
    </w:p>
    <w:p w14:paraId="4C88A368" w14:textId="1744BF5B" w:rsidR="00AB3475" w:rsidRDefault="000B7671" w:rsidP="0037486A">
      <w:pPr>
        <w:jc w:val="both"/>
      </w:pPr>
      <w:bookmarkStart w:id="1" w:name="_Hlk110709016"/>
      <w:r>
        <w:t xml:space="preserve">Fig. </w:t>
      </w:r>
      <w:r w:rsidR="00B62415">
        <w:t>3</w:t>
      </w:r>
      <w:r>
        <w:t xml:space="preserve"> shows the components that contribute to the service interruption in L3 baseline handover</w:t>
      </w:r>
      <w:r w:rsidR="00E51C0B">
        <w:t xml:space="preserve"> </w:t>
      </w:r>
      <w:r w:rsidR="00E51C0B">
        <w:fldChar w:fldCharType="begin"/>
      </w:r>
      <w:r w:rsidR="00E51C0B">
        <w:instrText xml:space="preserve"> REF _Ref108624858 \r \h </w:instrText>
      </w:r>
      <w:r w:rsidR="000810A8">
        <w:instrText xml:space="preserve"> \* MERGEFORMAT </w:instrText>
      </w:r>
      <w:r w:rsidR="00E51C0B">
        <w:fldChar w:fldCharType="separate"/>
      </w:r>
      <w:r w:rsidR="00E51C0B">
        <w:t>[1]</w:t>
      </w:r>
      <w:r w:rsidR="00E51C0B">
        <w:fldChar w:fldCharType="end"/>
      </w:r>
      <w:r w:rsidR="00E51C0B" w:rsidRPr="00166B75">
        <w:fldChar w:fldCharType="begin"/>
      </w:r>
      <w:r w:rsidR="00E51C0B">
        <w:instrText xml:space="preserve"> REF _Ref108624861 \r \h </w:instrText>
      </w:r>
      <w:r w:rsidR="000810A8">
        <w:instrText xml:space="preserve"> \* MERGEFORMAT </w:instrText>
      </w:r>
      <w:r w:rsidR="00E51C0B" w:rsidRPr="00166B75">
        <w:fldChar w:fldCharType="separate"/>
      </w:r>
      <w:r w:rsidR="00E51C0B">
        <w:t>[2]</w:t>
      </w:r>
      <w:r w:rsidR="00E51C0B" w:rsidRPr="00166B75">
        <w:fldChar w:fldCharType="end"/>
      </w:r>
      <w:r>
        <w:t xml:space="preserve"> and which shall be reduced (as much as possible) </w:t>
      </w:r>
      <w:r w:rsidR="00AB3475">
        <w:t xml:space="preserve">for </w:t>
      </w:r>
      <w:r w:rsidR="0025712B">
        <w:t>Lower Layer Mobility</w:t>
      </w:r>
      <w:r w:rsidR="003E15E6">
        <w:t>:</w:t>
      </w:r>
    </w:p>
    <w:p w14:paraId="199D4375" w14:textId="0B2BA775" w:rsidR="003E15E6" w:rsidRDefault="003E15E6" w:rsidP="0037486A">
      <w:pPr>
        <w:pStyle w:val="ListParagraph"/>
        <w:numPr>
          <w:ilvl w:val="0"/>
          <w:numId w:val="22"/>
        </w:numPr>
        <w:jc w:val="both"/>
      </w:pPr>
      <w:r>
        <w:t>RRC procedure delay consists of RRC signal processing related to decoding of handover command and L2/3 reconfiguration of the protocol layers:</w:t>
      </w:r>
    </w:p>
    <w:p w14:paraId="7FF9F603" w14:textId="77777777" w:rsidR="00607A35" w:rsidRDefault="6F149056" w:rsidP="0037486A">
      <w:pPr>
        <w:pStyle w:val="ListParagraph"/>
        <w:numPr>
          <w:ilvl w:val="1"/>
          <w:numId w:val="22"/>
        </w:numPr>
        <w:jc w:val="both"/>
      </w:pPr>
      <w:r>
        <w:t xml:space="preserve">For lower layer mobility, RRC procedure delay can be reduced given that the UE can receive and decode the configuration of the target cells before the cell change occurs. </w:t>
      </w:r>
    </w:p>
    <w:p w14:paraId="7CD0A617" w14:textId="7B9D52E7" w:rsidR="00A74885" w:rsidRDefault="1283B344" w:rsidP="0037486A">
      <w:pPr>
        <w:pStyle w:val="ListParagraph"/>
        <w:numPr>
          <w:ilvl w:val="1"/>
          <w:numId w:val="22"/>
        </w:numPr>
        <w:jc w:val="both"/>
      </w:pPr>
      <w:r>
        <w:t xml:space="preserve">Moreover, since lower layer mobility is restricted to intra-CU scenario with same PDCP and RRC, L2/3 reconfigurations can be minimized by keeping </w:t>
      </w:r>
      <w:r w:rsidR="729205B5">
        <w:t>the same configuration for PDCP and RRC and possibly other layers such as RLC and MAC in intra-DU scenario</w:t>
      </w:r>
      <w:r w:rsidR="62A27200">
        <w:t xml:space="preserve">, i.e., </w:t>
      </w:r>
      <w:r w:rsidR="1685B0D5">
        <w:t xml:space="preserve">in inter-DU scenario </w:t>
      </w:r>
      <w:r w:rsidR="729205B5">
        <w:t>the new target cell may have diff</w:t>
      </w:r>
      <w:r w:rsidR="62A27200">
        <w:t>er configurations for RLC and MAC.</w:t>
      </w:r>
      <w:r w:rsidR="7DB76DF6">
        <w:t xml:space="preserve"> In the best case for intra-DU, the target cell can reconfigure </w:t>
      </w:r>
      <w:r w:rsidR="3BD8F734">
        <w:t xml:space="preserve">only </w:t>
      </w:r>
      <w:r w:rsidR="7DB76DF6">
        <w:t xml:space="preserve">the </w:t>
      </w:r>
      <w:r w:rsidR="53447C78">
        <w:t xml:space="preserve">new </w:t>
      </w:r>
      <w:r w:rsidR="7DB76DF6">
        <w:t xml:space="preserve">C-RNTI which can save the entire L2/3 reconfiguration </w:t>
      </w:r>
      <w:r w:rsidR="53447C78">
        <w:t>for</w:t>
      </w:r>
      <w:r w:rsidR="7DB76DF6">
        <w:t xml:space="preserve"> the UE.</w:t>
      </w:r>
    </w:p>
    <w:p w14:paraId="08D5728A" w14:textId="7FD84A71" w:rsidR="003E15E6" w:rsidRDefault="1283B344" w:rsidP="0037486A">
      <w:pPr>
        <w:pStyle w:val="ListParagraph"/>
        <w:numPr>
          <w:ilvl w:val="0"/>
          <w:numId w:val="22"/>
        </w:numPr>
        <w:jc w:val="both"/>
      </w:pPr>
      <w:proofErr w:type="spellStart"/>
      <w:r>
        <w:t>T</w:t>
      </w:r>
      <w:r w:rsidRPr="55A6D068">
        <w:rPr>
          <w:vertAlign w:val="subscript"/>
        </w:rPr>
        <w:t>processing</w:t>
      </w:r>
      <w:proofErr w:type="spellEnd"/>
      <w:r>
        <w:t xml:space="preserve"> which includes the delay for RF/baseband retuning, derivation of target </w:t>
      </w:r>
      <w:proofErr w:type="spellStart"/>
      <w:r>
        <w:t>gNB</w:t>
      </w:r>
      <w:proofErr w:type="spellEnd"/>
      <w:r>
        <w:t xml:space="preserve"> security keys and configuration of the security algorithm to be used in the target cell</w:t>
      </w:r>
      <w:r w:rsidR="7DB76DF6">
        <w:t xml:space="preserve">. </w:t>
      </w:r>
    </w:p>
    <w:p w14:paraId="1FB680BD" w14:textId="4A3D6736" w:rsidR="00B05ADA" w:rsidRDefault="774A1E21" w:rsidP="0037486A">
      <w:pPr>
        <w:pStyle w:val="ListParagraph"/>
        <w:numPr>
          <w:ilvl w:val="1"/>
          <w:numId w:val="22"/>
        </w:numPr>
        <w:jc w:val="both"/>
      </w:pPr>
      <w:r>
        <w:t xml:space="preserve">Given that the PDCP </w:t>
      </w:r>
      <w:r w:rsidR="12FE8CA8">
        <w:t xml:space="preserve">entity in the CU </w:t>
      </w:r>
      <w:r>
        <w:t xml:space="preserve">is </w:t>
      </w:r>
      <w:r w:rsidR="12FE8CA8">
        <w:t xml:space="preserve">the same </w:t>
      </w:r>
      <w:r>
        <w:t>for both source and target cells, the same security keys and algorithms can be applied which reduces the interruption time.</w:t>
      </w:r>
    </w:p>
    <w:p w14:paraId="7FA93384" w14:textId="2DC59D2A" w:rsidR="004C128E" w:rsidRDefault="1685B0D5" w:rsidP="0037486A">
      <w:pPr>
        <w:pStyle w:val="ListParagraph"/>
        <w:numPr>
          <w:ilvl w:val="0"/>
          <w:numId w:val="22"/>
        </w:numPr>
        <w:jc w:val="both"/>
      </w:pPr>
      <w:r>
        <w:t>T</w:t>
      </w:r>
      <w:r w:rsidRPr="6C3CC79B">
        <w:rPr>
          <w:rFonts w:ascii="Calibri" w:hAnsi="Calibri" w:cs="Calibri"/>
          <w:vertAlign w:val="subscript"/>
        </w:rPr>
        <w:t>Δ</w:t>
      </w:r>
      <w:r w:rsidRPr="6C3CC79B">
        <w:rPr>
          <w:vertAlign w:val="subscript"/>
        </w:rPr>
        <w:t xml:space="preserve"> </w:t>
      </w:r>
      <w:r>
        <w:t xml:space="preserve">is time for fine time tracking and acquiring full timing information of the target cell. </w:t>
      </w:r>
      <w:proofErr w:type="spellStart"/>
      <w:r>
        <w:t>T</w:t>
      </w:r>
      <w:r w:rsidRPr="6C3CC79B">
        <w:rPr>
          <w:rFonts w:ascii="Calibri" w:hAnsi="Calibri" w:cs="Calibri"/>
          <w:vertAlign w:val="subscript"/>
        </w:rPr>
        <w:t>margin</w:t>
      </w:r>
      <w:proofErr w:type="spellEnd"/>
      <w:r w:rsidRPr="6C3CC79B">
        <w:rPr>
          <w:rFonts w:ascii="Calibri" w:hAnsi="Calibri" w:cs="Calibri"/>
          <w:vertAlign w:val="subscript"/>
        </w:rPr>
        <w:t xml:space="preserve"> </w:t>
      </w:r>
      <w:r>
        <w:t xml:space="preserve">is the time for SSB post-processing and can be up to 2 </w:t>
      </w:r>
      <w:proofErr w:type="spellStart"/>
      <w:r>
        <w:t>ms</w:t>
      </w:r>
      <w:proofErr w:type="spellEnd"/>
      <w:r>
        <w:t>.</w:t>
      </w:r>
    </w:p>
    <w:p w14:paraId="579673C0" w14:textId="683CEDD6" w:rsidR="00582451" w:rsidRDefault="1685B0D5" w:rsidP="0037486A">
      <w:pPr>
        <w:pStyle w:val="ListParagraph"/>
        <w:numPr>
          <w:ilvl w:val="1"/>
          <w:numId w:val="22"/>
        </w:numPr>
        <w:jc w:val="both"/>
      </w:pPr>
      <w:r>
        <w:t>It is unclear if</w:t>
      </w:r>
      <w:r w:rsidR="6CDF15DD">
        <w:t xml:space="preserve"> the </w:t>
      </w:r>
      <w:r w:rsidR="1ED95AD8">
        <w:t>signalling</w:t>
      </w:r>
      <w:r w:rsidR="6CDF15DD">
        <w:t xml:space="preserve"> diagram of</w:t>
      </w:r>
      <w:r>
        <w:t xml:space="preserve"> </w:t>
      </w:r>
      <w:r w:rsidR="0025712B">
        <w:t>Lower Layer Mobility</w:t>
      </w:r>
      <w:r w:rsidR="1ED95AD8">
        <w:t xml:space="preserve"> shown in</w:t>
      </w:r>
      <w:r w:rsidR="5F32A73A">
        <w:t xml:space="preserve"> </w:t>
      </w:r>
      <w:r w:rsidR="17A27FA0">
        <w:t>Fig. 1</w:t>
      </w:r>
      <w:r>
        <w:t xml:space="preserve"> </w:t>
      </w:r>
      <w:r w:rsidR="40068EB2">
        <w:t>can</w:t>
      </w:r>
      <w:r w:rsidR="17A27FA0">
        <w:t xml:space="preserve"> have an</w:t>
      </w:r>
      <w:r w:rsidR="1ED95AD8">
        <w:t>y</w:t>
      </w:r>
      <w:r w:rsidR="17A27FA0">
        <w:t xml:space="preserve"> impact on</w:t>
      </w:r>
      <w:r w:rsidR="40068EB2">
        <w:t xml:space="preserve"> these components</w:t>
      </w:r>
      <w:r w:rsidR="17A27FA0">
        <w:t>. RAN4 can</w:t>
      </w:r>
      <w:r w:rsidR="1ED95AD8">
        <w:t xml:space="preserve"> be consulted for this matter</w:t>
      </w:r>
      <w:r w:rsidR="17A27FA0">
        <w:t xml:space="preserve"> and potentially work on enhancements, if </w:t>
      </w:r>
      <w:r w:rsidR="00207647" w:rsidRPr="00207647">
        <w:t>seen</w:t>
      </w:r>
      <w:r w:rsidR="17A27FA0">
        <w:t xml:space="preserve"> feasible.</w:t>
      </w:r>
      <w:r w:rsidR="6CDF15DD">
        <w:t xml:space="preserve"> </w:t>
      </w:r>
    </w:p>
    <w:p w14:paraId="5997F8BB" w14:textId="77777777" w:rsidR="00233822" w:rsidRDefault="00233822" w:rsidP="0037486A">
      <w:pPr>
        <w:pStyle w:val="ListParagraph"/>
        <w:ind w:left="1440"/>
        <w:jc w:val="both"/>
      </w:pPr>
    </w:p>
    <w:p w14:paraId="39734EB6" w14:textId="56989022" w:rsidR="00216D44" w:rsidRDefault="40068EB2" w:rsidP="0037486A">
      <w:pPr>
        <w:pStyle w:val="ListParagraph"/>
        <w:numPr>
          <w:ilvl w:val="0"/>
          <w:numId w:val="22"/>
        </w:numPr>
        <w:jc w:val="both"/>
      </w:pPr>
      <w:r>
        <w:t>T</w:t>
      </w:r>
      <w:r w:rsidRPr="6C3CC79B">
        <w:rPr>
          <w:vertAlign w:val="subscript"/>
        </w:rPr>
        <w:t xml:space="preserve">IU </w:t>
      </w:r>
      <w:r>
        <w:t xml:space="preserve">is the interruption uncertainty in acquiring the first available PRACH occasion in the new cell. In addition, there </w:t>
      </w:r>
      <w:r w:rsidR="05ED2678">
        <w:t xml:space="preserve">are the </w:t>
      </w:r>
      <w:r>
        <w:t>interruption</w:t>
      </w:r>
      <w:r w:rsidR="05ED2678">
        <w:t>s</w:t>
      </w:r>
      <w:r>
        <w:t xml:space="preserve"> of sending PRACH preamble and re</w:t>
      </w:r>
      <w:r w:rsidR="05ED2678">
        <w:t>cei</w:t>
      </w:r>
      <w:r>
        <w:t>ving the RACH response (RAR).</w:t>
      </w:r>
    </w:p>
    <w:p w14:paraId="10A82EBC" w14:textId="7414CADB" w:rsidR="00582451" w:rsidRDefault="40068EB2" w:rsidP="0037486A">
      <w:pPr>
        <w:pStyle w:val="ListParagraph"/>
        <w:numPr>
          <w:ilvl w:val="1"/>
          <w:numId w:val="22"/>
        </w:numPr>
        <w:jc w:val="both"/>
      </w:pPr>
      <w:r>
        <w:t>Th</w:t>
      </w:r>
      <w:r w:rsidR="17BC7180">
        <w:t>ese random access related interruption components</w:t>
      </w:r>
      <w:r>
        <w:t xml:space="preserve"> can be reduced in </w:t>
      </w:r>
      <w:r w:rsidR="0025712B">
        <w:t>Lower Layer Mobility</w:t>
      </w:r>
      <w:r>
        <w:t xml:space="preserve"> by introducing RACH-less handover where the UE skips the entire random-access procedure to the target cell.</w:t>
      </w:r>
    </w:p>
    <w:p w14:paraId="14855987" w14:textId="475E721D" w:rsidR="00BD65CB" w:rsidRDefault="00BD65CB" w:rsidP="0037486A">
      <w:pPr>
        <w:pStyle w:val="ListParagraph"/>
        <w:numPr>
          <w:ilvl w:val="1"/>
          <w:numId w:val="22"/>
        </w:numPr>
        <w:jc w:val="both"/>
      </w:pPr>
      <w:r>
        <w:t>For scenarios where RACH-less cannot be applied, the UE can acquire the timing advance of the prepared target cells before the actual handover occurs.</w:t>
      </w:r>
    </w:p>
    <w:p w14:paraId="00B012DF" w14:textId="4FE0B864" w:rsidR="00582451" w:rsidRDefault="633712B3" w:rsidP="0037486A">
      <w:pPr>
        <w:pStyle w:val="ListParagraph"/>
        <w:numPr>
          <w:ilvl w:val="0"/>
          <w:numId w:val="22"/>
        </w:numPr>
        <w:jc w:val="both"/>
      </w:pPr>
      <w:r>
        <w:t>Transmission of RRC Reconfiguration Complete</w:t>
      </w:r>
    </w:p>
    <w:p w14:paraId="71D5DC2D" w14:textId="78B43BA4" w:rsidR="00B24C67" w:rsidRDefault="633712B3" w:rsidP="0037486A">
      <w:pPr>
        <w:pStyle w:val="ListParagraph"/>
        <w:numPr>
          <w:ilvl w:val="1"/>
          <w:numId w:val="22"/>
        </w:numPr>
        <w:jc w:val="both"/>
      </w:pPr>
      <w:r>
        <w:t xml:space="preserve">This message is needed </w:t>
      </w:r>
      <w:r w:rsidR="53C0AE07">
        <w:t>by the</w:t>
      </w:r>
      <w:r>
        <w:t xml:space="preserve"> UE </w:t>
      </w:r>
      <w:r w:rsidR="53C0AE07">
        <w:t xml:space="preserve">to </w:t>
      </w:r>
      <w:r>
        <w:t>confirm to the target cell that it has applied the corresponding handover configuration.</w:t>
      </w:r>
      <w:r w:rsidR="00B24C67">
        <w:t xml:space="preserve">                                                                                                                </w:t>
      </w:r>
    </w:p>
    <w:p w14:paraId="33C3D037" w14:textId="39E68AE5" w:rsidR="00B24C67" w:rsidRDefault="00742100" w:rsidP="003A4B09">
      <w:pPr>
        <w:keepNext/>
        <w:jc w:val="center"/>
      </w:pPr>
      <w:r>
        <w:rPr>
          <w:noProof/>
        </w:rPr>
        <w:drawing>
          <wp:inline distT="0" distB="0" distL="0" distR="0" wp14:anchorId="4F56EF1F" wp14:editId="3F74B934">
            <wp:extent cx="6570422" cy="1522802"/>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35840" cy="1537964"/>
                    </a:xfrm>
                    <a:prstGeom prst="rect">
                      <a:avLst/>
                    </a:prstGeom>
                    <a:noFill/>
                  </pic:spPr>
                </pic:pic>
              </a:graphicData>
            </a:graphic>
          </wp:inline>
        </w:drawing>
      </w:r>
    </w:p>
    <w:p w14:paraId="7DAE3556" w14:textId="5CB72992" w:rsidR="00B24C67" w:rsidRDefault="00B24C67" w:rsidP="003A4B09">
      <w:pPr>
        <w:pStyle w:val="Caption"/>
        <w:jc w:val="center"/>
      </w:pPr>
      <w:r>
        <w:t xml:space="preserve">Figure </w:t>
      </w:r>
      <w:r w:rsidR="00B62415">
        <w:t>3</w:t>
      </w:r>
      <w:r>
        <w:t>: Components contributing to service interruption during L3 baseline handover of NR Rel. 15.</w:t>
      </w:r>
      <w:bookmarkEnd w:id="1"/>
    </w:p>
    <w:p w14:paraId="2DE8EFFA" w14:textId="573BF84B" w:rsidR="003E15E6" w:rsidRDefault="00C157ED" w:rsidP="0037486A">
      <w:pPr>
        <w:jc w:val="both"/>
      </w:pPr>
      <w:r>
        <w:t xml:space="preserve">Based on the above analysis, </w:t>
      </w:r>
      <w:r w:rsidR="0025712B">
        <w:t>Lower Layer Mobility</w:t>
      </w:r>
      <w:r>
        <w:t xml:space="preserve"> can have smaller interruption time than baseline handover by reducing at least RRC procedure delay, </w:t>
      </w:r>
      <w:proofErr w:type="spellStart"/>
      <w:r>
        <w:t>T</w:t>
      </w:r>
      <w:r w:rsidRPr="0037486A">
        <w:rPr>
          <w:vertAlign w:val="subscript"/>
        </w:rPr>
        <w:t>processing</w:t>
      </w:r>
      <w:proofErr w:type="spellEnd"/>
      <w:r w:rsidR="00D56410">
        <w:t xml:space="preserve"> and the components that are associated with random access (T</w:t>
      </w:r>
      <w:r w:rsidR="00D56410">
        <w:rPr>
          <w:vertAlign w:val="subscript"/>
        </w:rPr>
        <w:t xml:space="preserve">IU, </w:t>
      </w:r>
      <w:r w:rsidR="00D56410">
        <w:t>transmission of PRACH preamble and waiting for the RACH response).</w:t>
      </w:r>
    </w:p>
    <w:p w14:paraId="38D5E695" w14:textId="6EBA24C7" w:rsidR="00D56410" w:rsidRDefault="00D56410" w:rsidP="0037486A">
      <w:pPr>
        <w:jc w:val="both"/>
      </w:pPr>
      <w:r w:rsidRPr="0037486A">
        <w:rPr>
          <w:b/>
          <w:bCs/>
        </w:rPr>
        <w:lastRenderedPageBreak/>
        <w:t xml:space="preserve">Observation </w:t>
      </w:r>
      <w:r w:rsidR="0025712B">
        <w:rPr>
          <w:b/>
          <w:bCs/>
        </w:rPr>
        <w:t>8</w:t>
      </w:r>
      <w:r>
        <w:t xml:space="preserve">: </w:t>
      </w:r>
      <w:r w:rsidR="0025712B">
        <w:t>Lower Layer Mobility</w:t>
      </w:r>
      <w:r>
        <w:t xml:space="preserve"> can have smaller interruption time than baseline handover by reducing at least RRC procedure delay, </w:t>
      </w:r>
      <w:proofErr w:type="spellStart"/>
      <w:r>
        <w:t>T</w:t>
      </w:r>
      <w:r w:rsidRPr="000D57EB">
        <w:rPr>
          <w:vertAlign w:val="subscript"/>
        </w:rPr>
        <w:t>processing</w:t>
      </w:r>
      <w:proofErr w:type="spellEnd"/>
      <w:r>
        <w:t xml:space="preserve"> and the components that are associated with random access (T</w:t>
      </w:r>
      <w:r>
        <w:rPr>
          <w:vertAlign w:val="subscript"/>
        </w:rPr>
        <w:t xml:space="preserve">IU, </w:t>
      </w:r>
      <w:r>
        <w:t>transmission of PRACH preamble and waiting for the RACH response).</w:t>
      </w:r>
    </w:p>
    <w:p w14:paraId="5A6E10B1" w14:textId="4E87D370" w:rsidR="00B24C67" w:rsidRPr="00C74F08" w:rsidRDefault="00261746" w:rsidP="00937C96">
      <w:pPr>
        <w:jc w:val="both"/>
      </w:pPr>
      <w:r>
        <w:t>As per current specifications serving cell change (</w:t>
      </w:r>
      <w:proofErr w:type="spellStart"/>
      <w:r>
        <w:t>PCell</w:t>
      </w:r>
      <w:proofErr w:type="spellEnd"/>
      <w:r>
        <w:t xml:space="preserve"> chan</w:t>
      </w:r>
      <w:r w:rsidR="00AA38BD">
        <w:t>g</w:t>
      </w:r>
      <w:r>
        <w:t xml:space="preserve">e or </w:t>
      </w:r>
      <w:proofErr w:type="spellStart"/>
      <w:r>
        <w:t>PSCell</w:t>
      </w:r>
      <w:proofErr w:type="spellEnd"/>
      <w:r>
        <w:t xml:space="preserve"> change) requires RRC Reconfiguration to be applied with </w:t>
      </w:r>
      <w:r w:rsidR="00E02BC9">
        <w:t>synchronisation</w:t>
      </w:r>
      <w:r>
        <w:t xml:space="preserve">. As part of RRC Reconfiguration with </w:t>
      </w:r>
      <w:r w:rsidR="00A71F9C">
        <w:t>sync</w:t>
      </w:r>
      <w:r>
        <w:t xml:space="preserve"> processing the UE should reset the MAC layer which also means that pending packets at MAC are dropped when UE switches to the new cell. This behaviour may lead to additional interruption of loss of packets during switching.  As the </w:t>
      </w:r>
      <w:r w:rsidR="00CC71D6">
        <w:t>dynamic switching or handover trigger is controlled by L2 in L1/L2 mobility</w:t>
      </w:r>
      <w:r w:rsidR="00935E18">
        <w:t>,</w:t>
      </w:r>
      <w:r w:rsidR="00CC71D6">
        <w:t xml:space="preserve"> network can manage to trigger the switching in such way to minimise the impact of MAC reset on user plane interruption.</w:t>
      </w:r>
    </w:p>
    <w:p w14:paraId="4352ED33" w14:textId="0585D00A" w:rsidR="00CC71D6" w:rsidRPr="00C74F08" w:rsidRDefault="00CC71D6" w:rsidP="00543EB0">
      <w:pPr>
        <w:jc w:val="both"/>
      </w:pPr>
      <w:r w:rsidRPr="0037486A">
        <w:rPr>
          <w:b/>
          <w:bCs/>
        </w:rPr>
        <w:t xml:space="preserve">Observation </w:t>
      </w:r>
      <w:r w:rsidR="0025712B">
        <w:rPr>
          <w:b/>
          <w:bCs/>
        </w:rPr>
        <w:t>9</w:t>
      </w:r>
      <w:r>
        <w:t>: With L2 controlled mobility in L1/L2 mobility the impact of MAC reset for cell switching can be minimised where DU have the flexibility to trigger the switching based on user plane situation.</w:t>
      </w:r>
    </w:p>
    <w:p w14:paraId="3AED79BA" w14:textId="1A214E05" w:rsidR="0081107C" w:rsidRDefault="0081107C" w:rsidP="0081107C">
      <w:pPr>
        <w:pStyle w:val="Heading2"/>
      </w:pPr>
      <w:r>
        <w:t>3</w:t>
      </w:r>
      <w:r w:rsidRPr="006E13D1">
        <w:t>.</w:t>
      </w:r>
      <w:r>
        <w:t>2</w:t>
      </w:r>
      <w:r w:rsidRPr="006E13D1">
        <w:tab/>
      </w:r>
      <w:r w:rsidR="0025712B">
        <w:t>Lower Layer Mobility</w:t>
      </w:r>
      <w:r>
        <w:t xml:space="preserve"> Evaluation</w:t>
      </w:r>
    </w:p>
    <w:p w14:paraId="5749CB35" w14:textId="4F0144E8" w:rsidR="002216A4" w:rsidRDefault="00C61C39" w:rsidP="0037486A">
      <w:pPr>
        <w:jc w:val="both"/>
      </w:pPr>
      <w:r>
        <w:t xml:space="preserve">In the following, we compare the performance of </w:t>
      </w:r>
      <w:r w:rsidR="0025712B">
        <w:t>Lower Layer Mobility</w:t>
      </w:r>
      <w:r>
        <w:t xml:space="preserve"> against baseline handover </w:t>
      </w:r>
      <w:r w:rsidR="003E22B0">
        <w:t>(BHO)</w:t>
      </w:r>
      <w:r>
        <w:t xml:space="preserve"> and conditional handover (CHO) of Rel. 16. For the latter, we consider two cases: </w:t>
      </w:r>
      <w:r w:rsidR="00D47AB0">
        <w:t xml:space="preserve">1) </w:t>
      </w:r>
      <w:r>
        <w:t xml:space="preserve">CHO where </w:t>
      </w:r>
      <w:r w:rsidR="00CD75EF">
        <w:t>the execution condition is evaluated using</w:t>
      </w:r>
      <w:r>
        <w:t xml:space="preserve"> </w:t>
      </w:r>
      <w:r w:rsidR="00CD75EF">
        <w:t xml:space="preserve">filtered L3 </w:t>
      </w:r>
      <w:r w:rsidR="00D47AB0">
        <w:t>cell quality measurement</w:t>
      </w:r>
      <w:r w:rsidR="0027352E">
        <w:t>s</w:t>
      </w:r>
      <w:r w:rsidR="00D47AB0">
        <w:t xml:space="preserve"> and TTT and 2) CHO </w:t>
      </w:r>
      <w:r w:rsidR="00CD75EF">
        <w:t>where the execution condition is evaluated</w:t>
      </w:r>
      <w:r w:rsidR="00D47AB0">
        <w:t xml:space="preserve"> with disabled L3 filtering (cell quality is the strongest L1 beam measurement) and</w:t>
      </w:r>
      <w:r w:rsidR="00C227FE">
        <w:t xml:space="preserve"> time-to-trigger (</w:t>
      </w:r>
      <w:r w:rsidR="00D47AB0">
        <w:t>TTT</w:t>
      </w:r>
      <w:r w:rsidR="00C227FE">
        <w:t>)</w:t>
      </w:r>
      <w:r w:rsidR="00D47AB0">
        <w:t xml:space="preserve"> set to 0. Case 2</w:t>
      </w:r>
      <w:r w:rsidR="00563A51">
        <w:t xml:space="preserve">, </w:t>
      </w:r>
      <w:r w:rsidR="00A053BE">
        <w:t xml:space="preserve">denoted by </w:t>
      </w:r>
      <w:r w:rsidR="00CD75EF">
        <w:t>CHO_L1_noTTT</w:t>
      </w:r>
      <w:r w:rsidR="00563A51">
        <w:t xml:space="preserve">, </w:t>
      </w:r>
      <w:r w:rsidR="00D47AB0">
        <w:t xml:space="preserve">is evaluated </w:t>
      </w:r>
      <w:r w:rsidR="003A3B12">
        <w:t>to compare</w:t>
      </w:r>
      <w:r w:rsidR="00D47AB0">
        <w:t xml:space="preserve"> the performance of CHO</w:t>
      </w:r>
      <w:r w:rsidR="009953CE">
        <w:t xml:space="preserve"> against</w:t>
      </w:r>
      <w:r w:rsidR="00D47AB0">
        <w:t xml:space="preserve"> L1 centric mobility in case L1 measurements are used instead of L3</w:t>
      </w:r>
      <w:r w:rsidR="00E81E0E">
        <w:t xml:space="preserve"> cell quality</w:t>
      </w:r>
      <w:r w:rsidR="00432DB8">
        <w:t xml:space="preserve"> for handover execution.</w:t>
      </w:r>
      <w:r w:rsidR="00D47AB0">
        <w:t xml:space="preserve"> </w:t>
      </w:r>
    </w:p>
    <w:p w14:paraId="603D6C2F" w14:textId="1063E920" w:rsidR="00563A51" w:rsidRDefault="00563A51" w:rsidP="0037486A">
      <w:pPr>
        <w:jc w:val="both"/>
      </w:pPr>
      <w:r>
        <w:t>Moreover,</w:t>
      </w:r>
      <w:r w:rsidR="002425C2">
        <w:t xml:space="preserve"> two cases are considered for</w:t>
      </w:r>
      <w:r>
        <w:t xml:space="preserve"> </w:t>
      </w:r>
      <w:r w:rsidR="0025712B">
        <w:t>Lower Layer Mobility</w:t>
      </w:r>
      <w:r>
        <w:t xml:space="preserve">: 1) </w:t>
      </w:r>
      <w:r w:rsidR="0025712B">
        <w:t>Lower Layer Mobility</w:t>
      </w:r>
      <w:r>
        <w:t xml:space="preserve"> where the decision to trigger the cell change is based on the L1 beam measurements, i.e., trigger the handover if L1 beam measurement of target cell is 3 dB better than serving one and 2) </w:t>
      </w:r>
      <w:r w:rsidR="0025712B">
        <w:t>Lower Layer Mobility</w:t>
      </w:r>
      <w:r>
        <w:t xml:space="preserve"> where the decision to trigger the cell change is based on filtered L1 beam measurement</w:t>
      </w:r>
      <w:r w:rsidR="005F73A3">
        <w:t>s</w:t>
      </w:r>
      <w:r w:rsidR="00A408EF">
        <w:t>, i.e., additional filtering is applied by MAC to L1 beam measurements</w:t>
      </w:r>
      <w:r w:rsidR="007F5736">
        <w:t xml:space="preserve"> (similar to L3 filtering)</w:t>
      </w:r>
      <w:r w:rsidR="00A408EF">
        <w:t xml:space="preserve"> </w:t>
      </w:r>
      <w:r>
        <w:t xml:space="preserve">. Case 1 and 2 of </w:t>
      </w:r>
      <w:r w:rsidR="0025712B">
        <w:t>Lower Layer Mobility</w:t>
      </w:r>
      <w:r>
        <w:t xml:space="preserve"> are denoted by L1 and L1-F, respectively.</w:t>
      </w:r>
    </w:p>
    <w:p w14:paraId="183E44A8" w14:textId="02C25F5A" w:rsidR="00F8204C" w:rsidRDefault="000060F0" w:rsidP="0037486A">
      <w:pPr>
        <w:jc w:val="both"/>
      </w:pPr>
      <w:r>
        <w:t xml:space="preserve">The </w:t>
      </w:r>
      <w:r w:rsidR="00142D02">
        <w:t xml:space="preserve">simulations </w:t>
      </w:r>
      <w:r>
        <w:t>are generated for a network</w:t>
      </w:r>
      <w:r w:rsidR="00142D02">
        <w:t xml:space="preserve"> in FR1 with a </w:t>
      </w:r>
      <w:r w:rsidR="002923D9">
        <w:t xml:space="preserve">3GPP </w:t>
      </w:r>
      <w:r w:rsidR="00A6242E">
        <w:t>c</w:t>
      </w:r>
      <w:r w:rsidR="002923D9">
        <w:t xml:space="preserve">ompliant </w:t>
      </w:r>
      <w:r w:rsidR="00A6242E">
        <w:t>three</w:t>
      </w:r>
      <w:r w:rsidR="002923D9">
        <w:t>-sec</w:t>
      </w:r>
      <w:r w:rsidR="00F8204C">
        <w:t>tor Urban Macro scenario with 200 meters I</w:t>
      </w:r>
      <w:r>
        <w:t>nter-site distance (</w:t>
      </w:r>
      <w:r w:rsidR="00F8204C">
        <w:t>ISD</w:t>
      </w:r>
      <w:r>
        <w:t>)</w:t>
      </w:r>
      <w:r w:rsidR="00F8204C">
        <w:t>.</w:t>
      </w:r>
      <w:r w:rsidR="00282D85">
        <w:t xml:space="preserve"> </w:t>
      </w:r>
      <w:r w:rsidR="00FC7DB9">
        <w:t>The</w:t>
      </w:r>
      <w:r w:rsidR="00012719">
        <w:t xml:space="preserve"> network consists of</w:t>
      </w:r>
      <w:r w:rsidR="00FC7DB9">
        <w:t xml:space="preserve"> 7 sites with </w:t>
      </w:r>
      <w:r w:rsidR="00CD0113">
        <w:t>three</w:t>
      </w:r>
      <w:r w:rsidR="00FC7DB9">
        <w:t xml:space="preserve"> cell</w:t>
      </w:r>
      <w:r w:rsidR="00CD0113">
        <w:t>s</w:t>
      </w:r>
      <w:r w:rsidR="00FC7DB9">
        <w:t xml:space="preserve"> per </w:t>
      </w:r>
      <w:r w:rsidR="00012719">
        <w:t xml:space="preserve">each </w:t>
      </w:r>
      <w:r w:rsidR="00FC7DB9">
        <w:t>site</w:t>
      </w:r>
      <w:r w:rsidR="00766085">
        <w:t>.</w:t>
      </w:r>
      <w:r w:rsidR="00FC7DB9">
        <w:t xml:space="preserve">  </w:t>
      </w:r>
      <w:r w:rsidR="00766085">
        <w:t>T</w:t>
      </w:r>
      <w:r w:rsidR="00FC7DB9">
        <w:t>he users</w:t>
      </w:r>
      <w:r w:rsidR="00054D60">
        <w:t xml:space="preserve"> </w:t>
      </w:r>
      <w:r w:rsidR="00CD0113">
        <w:t>are</w:t>
      </w:r>
      <w:r w:rsidR="00054D60">
        <w:t xml:space="preserve"> dropped randomly</w:t>
      </w:r>
      <w:r w:rsidR="00736FDE">
        <w:t xml:space="preserve"> </w:t>
      </w:r>
      <w:r w:rsidR="00A31823">
        <w:t>with</w:t>
      </w:r>
      <w:r w:rsidR="00736FDE">
        <w:t xml:space="preserve"> 20 UEs per cell and </w:t>
      </w:r>
      <w:r w:rsidR="00556947">
        <w:t xml:space="preserve">they </w:t>
      </w:r>
      <w:r w:rsidR="00736FDE">
        <w:t xml:space="preserve">are moving in a random direction </w:t>
      </w:r>
      <w:r w:rsidR="00556947">
        <w:t>along</w:t>
      </w:r>
      <w:r w:rsidR="00736FDE">
        <w:t xml:space="preserve"> straight lines with constant speed of 60 km/h. The further details of the simulation scenarios and assumptions can be found in appendix.</w:t>
      </w:r>
    </w:p>
    <w:p w14:paraId="05F1B297" w14:textId="2D56C67F" w:rsidR="00F03077" w:rsidRPr="002216A4" w:rsidRDefault="00637F12" w:rsidP="0037486A">
      <w:pPr>
        <w:jc w:val="both"/>
      </w:pPr>
      <w:r>
        <w:t>Table 1</w:t>
      </w:r>
      <w:r w:rsidR="00F03077">
        <w:t xml:space="preserve"> s</w:t>
      </w:r>
      <w:r w:rsidR="007A3778">
        <w:t>hows</w:t>
      </w:r>
      <w:r w:rsidR="00F03077">
        <w:t xml:space="preserve"> the </w:t>
      </w:r>
      <w:r w:rsidR="007A3778">
        <w:t>parameters that are used for different handover procedures</w:t>
      </w:r>
      <w:r w:rsidR="00711B8E">
        <w:t>.</w:t>
      </w:r>
      <w:r w:rsidR="003F57B4">
        <w:t xml:space="preserve"> </w:t>
      </w:r>
    </w:p>
    <w:p w14:paraId="0D3ADE70" w14:textId="35A28C94" w:rsidR="00F03077" w:rsidRPr="00525C25" w:rsidRDefault="00F03077" w:rsidP="00F03077">
      <w:pPr>
        <w:pStyle w:val="TH"/>
        <w:rPr>
          <w:rFonts w:ascii="Times New Roman" w:hAnsi="Times New Roman"/>
        </w:rPr>
      </w:pPr>
    </w:p>
    <w:p w14:paraId="2EBAD6AD" w14:textId="39C5AB5E" w:rsidR="002A4A90" w:rsidRDefault="002A4A90" w:rsidP="00957AE7">
      <w:pPr>
        <w:pStyle w:val="Caption"/>
        <w:keepNext/>
        <w:jc w:val="center"/>
      </w:pPr>
      <w:r>
        <w:t xml:space="preserve">Table </w:t>
      </w:r>
      <w:r>
        <w:fldChar w:fldCharType="begin"/>
      </w:r>
      <w:r>
        <w:instrText>SEQ Table \* ARABIC</w:instrText>
      </w:r>
      <w:r>
        <w:fldChar w:fldCharType="separate"/>
      </w:r>
      <w:r>
        <w:rPr>
          <w:noProof/>
        </w:rPr>
        <w:t>1</w:t>
      </w:r>
      <w:r>
        <w:fldChar w:fldCharType="end"/>
      </w:r>
      <w:r>
        <w:t xml:space="preserve">: </w:t>
      </w:r>
      <w:r w:rsidR="000201DE">
        <w:t xml:space="preserve">Parameters of </w:t>
      </w:r>
      <w:r w:rsidRPr="00F73A70">
        <w:t>Handover Procedures</w:t>
      </w:r>
    </w:p>
    <w:tbl>
      <w:tblPr>
        <w:tblW w:w="101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84"/>
        <w:gridCol w:w="1685"/>
        <w:gridCol w:w="1685"/>
        <w:gridCol w:w="1685"/>
        <w:gridCol w:w="1685"/>
        <w:gridCol w:w="1685"/>
      </w:tblGrid>
      <w:tr w:rsidR="002747EA" w:rsidRPr="00525C25" w14:paraId="630C9B90" w14:textId="5F123842" w:rsidTr="00957AE7">
        <w:trPr>
          <w:trHeight w:val="252"/>
          <w:jc w:val="center"/>
        </w:trPr>
        <w:tc>
          <w:tcPr>
            <w:tcW w:w="1684" w:type="dxa"/>
            <w:tcBorders>
              <w:top w:val="single" w:sz="4" w:space="0" w:color="auto"/>
              <w:left w:val="single" w:sz="4" w:space="0" w:color="auto"/>
              <w:bottom w:val="single" w:sz="4" w:space="0" w:color="auto"/>
              <w:right w:val="single" w:sz="4" w:space="0" w:color="auto"/>
            </w:tcBorders>
            <w:noWrap/>
            <w:vAlign w:val="bottom"/>
          </w:tcPr>
          <w:p w14:paraId="067F8850" w14:textId="77777777" w:rsidR="002747EA" w:rsidRPr="00525C25" w:rsidRDefault="002747EA" w:rsidP="00736FDE">
            <w:pPr>
              <w:pStyle w:val="TAH"/>
              <w:spacing w:before="20" w:after="20"/>
              <w:ind w:left="57" w:right="57"/>
              <w:rPr>
                <w:rFonts w:ascii="Times New Roman" w:hAnsi="Times New Roman"/>
              </w:rPr>
            </w:pPr>
            <w:r w:rsidRPr="00525C25">
              <w:rPr>
                <w:rFonts w:ascii="Times New Roman" w:hAnsi="Times New Roman"/>
              </w:rPr>
              <w:t>Parameters/Cases</w:t>
            </w:r>
          </w:p>
        </w:tc>
        <w:tc>
          <w:tcPr>
            <w:tcW w:w="1685" w:type="dxa"/>
            <w:tcBorders>
              <w:top w:val="single" w:sz="4" w:space="0" w:color="auto"/>
              <w:left w:val="single" w:sz="4" w:space="0" w:color="auto"/>
              <w:bottom w:val="single" w:sz="4" w:space="0" w:color="auto"/>
              <w:right w:val="single" w:sz="4" w:space="0" w:color="auto"/>
            </w:tcBorders>
            <w:vAlign w:val="bottom"/>
          </w:tcPr>
          <w:p w14:paraId="659D098D" w14:textId="380F4056" w:rsidR="002747EA" w:rsidRPr="00525C25" w:rsidRDefault="002747EA" w:rsidP="00736FDE">
            <w:pPr>
              <w:pStyle w:val="TAH"/>
              <w:spacing w:before="20" w:after="20"/>
              <w:ind w:left="57" w:right="57"/>
              <w:rPr>
                <w:rFonts w:ascii="Times New Roman" w:hAnsi="Times New Roman"/>
              </w:rPr>
            </w:pPr>
            <w:r>
              <w:rPr>
                <w:rFonts w:ascii="Times New Roman" w:hAnsi="Times New Roman"/>
              </w:rPr>
              <w:t>BHO</w:t>
            </w:r>
          </w:p>
        </w:tc>
        <w:tc>
          <w:tcPr>
            <w:tcW w:w="1685" w:type="dxa"/>
            <w:tcBorders>
              <w:top w:val="single" w:sz="4" w:space="0" w:color="auto"/>
              <w:left w:val="single" w:sz="4" w:space="0" w:color="auto"/>
              <w:bottom w:val="single" w:sz="4" w:space="0" w:color="auto"/>
              <w:right w:val="single" w:sz="4" w:space="0" w:color="auto"/>
            </w:tcBorders>
            <w:noWrap/>
            <w:vAlign w:val="bottom"/>
          </w:tcPr>
          <w:p w14:paraId="548451AB" w14:textId="0AFF2B9D" w:rsidR="002747EA" w:rsidRPr="00525C25" w:rsidRDefault="002747EA" w:rsidP="00736FDE">
            <w:pPr>
              <w:pStyle w:val="TAH"/>
              <w:spacing w:before="20" w:after="20"/>
              <w:ind w:left="57" w:right="57"/>
              <w:rPr>
                <w:rFonts w:ascii="Times New Roman" w:hAnsi="Times New Roman"/>
              </w:rPr>
            </w:pPr>
            <w:r>
              <w:rPr>
                <w:rFonts w:ascii="Times New Roman" w:hAnsi="Times New Roman"/>
              </w:rPr>
              <w:t>CHO</w:t>
            </w:r>
          </w:p>
        </w:tc>
        <w:tc>
          <w:tcPr>
            <w:tcW w:w="1685" w:type="dxa"/>
            <w:tcBorders>
              <w:top w:val="single" w:sz="4" w:space="0" w:color="auto"/>
              <w:left w:val="single" w:sz="4" w:space="0" w:color="auto"/>
              <w:bottom w:val="single" w:sz="4" w:space="0" w:color="auto"/>
              <w:right w:val="single" w:sz="4" w:space="0" w:color="auto"/>
            </w:tcBorders>
            <w:vAlign w:val="bottom"/>
          </w:tcPr>
          <w:p w14:paraId="733DF917" w14:textId="09CF98FD" w:rsidR="002747EA" w:rsidRPr="00525C25" w:rsidRDefault="002747EA" w:rsidP="00736FDE">
            <w:pPr>
              <w:pStyle w:val="TAH"/>
              <w:spacing w:before="20" w:after="20"/>
              <w:ind w:left="57" w:right="57"/>
              <w:rPr>
                <w:rFonts w:ascii="Times New Roman" w:hAnsi="Times New Roman"/>
              </w:rPr>
            </w:pPr>
            <w:r>
              <w:rPr>
                <w:rFonts w:ascii="Times New Roman" w:hAnsi="Times New Roman"/>
              </w:rPr>
              <w:t>CHO_L1_no_TTT</w:t>
            </w:r>
          </w:p>
        </w:tc>
        <w:tc>
          <w:tcPr>
            <w:tcW w:w="1685" w:type="dxa"/>
            <w:tcBorders>
              <w:top w:val="single" w:sz="4" w:space="0" w:color="auto"/>
              <w:left w:val="single" w:sz="4" w:space="0" w:color="auto"/>
              <w:bottom w:val="single" w:sz="4" w:space="0" w:color="auto"/>
              <w:right w:val="single" w:sz="4" w:space="0" w:color="auto"/>
            </w:tcBorders>
            <w:vAlign w:val="bottom"/>
          </w:tcPr>
          <w:p w14:paraId="2B89DDBE" w14:textId="337BF6F9" w:rsidR="002747EA" w:rsidRPr="00525C25" w:rsidRDefault="002747EA" w:rsidP="00736FDE">
            <w:pPr>
              <w:pStyle w:val="TAH"/>
              <w:spacing w:before="20" w:after="20"/>
              <w:ind w:left="57" w:right="57"/>
              <w:rPr>
                <w:rFonts w:ascii="Times New Roman" w:hAnsi="Times New Roman"/>
              </w:rPr>
            </w:pPr>
            <w:r>
              <w:rPr>
                <w:rFonts w:ascii="Times New Roman" w:hAnsi="Times New Roman"/>
              </w:rPr>
              <w:t>L1</w:t>
            </w:r>
            <w:r w:rsidR="003F57B4">
              <w:rPr>
                <w:rFonts w:ascii="Times New Roman" w:hAnsi="Times New Roman"/>
              </w:rPr>
              <w:t xml:space="preserve"> </w:t>
            </w:r>
          </w:p>
        </w:tc>
        <w:tc>
          <w:tcPr>
            <w:tcW w:w="1685" w:type="dxa"/>
            <w:tcBorders>
              <w:top w:val="single" w:sz="4" w:space="0" w:color="auto"/>
              <w:left w:val="single" w:sz="4" w:space="0" w:color="auto"/>
              <w:bottom w:val="single" w:sz="4" w:space="0" w:color="auto"/>
              <w:right w:val="single" w:sz="4" w:space="0" w:color="auto"/>
            </w:tcBorders>
          </w:tcPr>
          <w:p w14:paraId="59052087" w14:textId="7E000678" w:rsidR="002747EA" w:rsidRPr="00525C25" w:rsidRDefault="002747EA" w:rsidP="00736FDE">
            <w:pPr>
              <w:pStyle w:val="TAH"/>
              <w:spacing w:before="20" w:after="20"/>
              <w:ind w:left="57" w:right="57"/>
              <w:rPr>
                <w:rFonts w:ascii="Times New Roman" w:hAnsi="Times New Roman"/>
              </w:rPr>
            </w:pPr>
            <w:r>
              <w:rPr>
                <w:rFonts w:ascii="Times New Roman" w:hAnsi="Times New Roman"/>
              </w:rPr>
              <w:t>L1-F</w:t>
            </w:r>
          </w:p>
        </w:tc>
      </w:tr>
      <w:tr w:rsidR="002747EA" w:rsidRPr="00525C25" w14:paraId="437C206A" w14:textId="0BA45EC3" w:rsidTr="00957AE7">
        <w:trPr>
          <w:trHeight w:val="252"/>
          <w:jc w:val="center"/>
        </w:trPr>
        <w:tc>
          <w:tcPr>
            <w:tcW w:w="1684" w:type="dxa"/>
            <w:tcBorders>
              <w:top w:val="single" w:sz="4" w:space="0" w:color="auto"/>
              <w:left w:val="single" w:sz="4" w:space="0" w:color="auto"/>
              <w:bottom w:val="single" w:sz="4" w:space="0" w:color="auto"/>
              <w:right w:val="single" w:sz="4" w:space="0" w:color="auto"/>
            </w:tcBorders>
            <w:noWrap/>
            <w:vAlign w:val="bottom"/>
          </w:tcPr>
          <w:p w14:paraId="75B8BF79" w14:textId="53CF58B7" w:rsidR="002747EA" w:rsidRPr="00525C25" w:rsidRDefault="002747EA" w:rsidP="00736FDE">
            <w:pPr>
              <w:pStyle w:val="TAC"/>
              <w:spacing w:before="20" w:after="20"/>
              <w:ind w:left="57" w:right="57"/>
              <w:rPr>
                <w:rFonts w:ascii="Times New Roman" w:hAnsi="Times New Roman"/>
              </w:rPr>
            </w:pPr>
            <w:r>
              <w:rPr>
                <w:rFonts w:ascii="Times New Roman" w:hAnsi="Times New Roman"/>
              </w:rPr>
              <w:t>HO Preparation Delay</w:t>
            </w:r>
          </w:p>
        </w:tc>
        <w:tc>
          <w:tcPr>
            <w:tcW w:w="1685" w:type="dxa"/>
            <w:tcBorders>
              <w:top w:val="single" w:sz="4" w:space="0" w:color="auto"/>
              <w:left w:val="single" w:sz="4" w:space="0" w:color="auto"/>
              <w:bottom w:val="single" w:sz="4" w:space="0" w:color="auto"/>
              <w:right w:val="single" w:sz="4" w:space="0" w:color="auto"/>
            </w:tcBorders>
            <w:vAlign w:val="bottom"/>
          </w:tcPr>
          <w:p w14:paraId="4B966ED5" w14:textId="5428B997"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 xml:space="preserve">40 </w:t>
            </w:r>
            <w:proofErr w:type="spellStart"/>
            <w:r w:rsidRPr="00525C25">
              <w:rPr>
                <w:rFonts w:ascii="Times New Roman" w:hAnsi="Times New Roman"/>
              </w:rPr>
              <w:t>ms</w:t>
            </w:r>
            <w:proofErr w:type="spellEnd"/>
            <w:r w:rsidRPr="00525C25">
              <w:rPr>
                <w:rFonts w:ascii="Times New Roman" w:hAnsi="Times New Roman"/>
              </w:rPr>
              <w:t xml:space="preserve"> [</w:t>
            </w:r>
            <w:r w:rsidR="00851724">
              <w:rPr>
                <w:rFonts w:ascii="Times New Roman" w:hAnsi="Times New Roman"/>
              </w:rPr>
              <w:t>3</w:t>
            </w:r>
            <w:r w:rsidRPr="00525C25">
              <w:rPr>
                <w:rFonts w:ascii="Times New Roman" w:hAnsi="Times New Roman"/>
              </w:rPr>
              <w:t>]</w:t>
            </w:r>
          </w:p>
        </w:tc>
        <w:tc>
          <w:tcPr>
            <w:tcW w:w="1685" w:type="dxa"/>
            <w:tcBorders>
              <w:top w:val="single" w:sz="4" w:space="0" w:color="auto"/>
              <w:left w:val="single" w:sz="4" w:space="0" w:color="auto"/>
              <w:bottom w:val="single" w:sz="4" w:space="0" w:color="auto"/>
              <w:right w:val="single" w:sz="4" w:space="0" w:color="auto"/>
            </w:tcBorders>
            <w:noWrap/>
            <w:vAlign w:val="bottom"/>
          </w:tcPr>
          <w:p w14:paraId="6526AE2E" w14:textId="351B12DF"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 xml:space="preserve">40 </w:t>
            </w:r>
            <w:proofErr w:type="spellStart"/>
            <w:r w:rsidRPr="00525C25">
              <w:rPr>
                <w:rFonts w:ascii="Times New Roman" w:hAnsi="Times New Roman"/>
              </w:rPr>
              <w:t>ms</w:t>
            </w:r>
            <w:proofErr w:type="spellEnd"/>
            <w:r w:rsidRPr="00525C25">
              <w:rPr>
                <w:rFonts w:ascii="Times New Roman" w:hAnsi="Times New Roman"/>
              </w:rPr>
              <w:t xml:space="preserve"> </w:t>
            </w:r>
          </w:p>
        </w:tc>
        <w:tc>
          <w:tcPr>
            <w:tcW w:w="1685" w:type="dxa"/>
            <w:tcBorders>
              <w:top w:val="single" w:sz="4" w:space="0" w:color="auto"/>
              <w:left w:val="single" w:sz="4" w:space="0" w:color="auto"/>
              <w:bottom w:val="single" w:sz="4" w:space="0" w:color="auto"/>
              <w:right w:val="single" w:sz="4" w:space="0" w:color="auto"/>
            </w:tcBorders>
            <w:vAlign w:val="bottom"/>
          </w:tcPr>
          <w:p w14:paraId="17F4FB85" w14:textId="7B64ED73"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 xml:space="preserve">40 </w:t>
            </w:r>
            <w:proofErr w:type="spellStart"/>
            <w:r w:rsidRPr="00525C25">
              <w:rPr>
                <w:rFonts w:ascii="Times New Roman" w:hAnsi="Times New Roman"/>
              </w:rPr>
              <w:t>ms</w:t>
            </w:r>
            <w:proofErr w:type="spellEnd"/>
            <w:r w:rsidRPr="00525C25">
              <w:rPr>
                <w:rFonts w:ascii="Times New Roman" w:hAnsi="Times New Roman"/>
              </w:rPr>
              <w:t xml:space="preserve"> </w:t>
            </w:r>
          </w:p>
        </w:tc>
        <w:tc>
          <w:tcPr>
            <w:tcW w:w="1685" w:type="dxa"/>
            <w:tcBorders>
              <w:top w:val="single" w:sz="4" w:space="0" w:color="auto"/>
              <w:left w:val="single" w:sz="4" w:space="0" w:color="auto"/>
              <w:bottom w:val="single" w:sz="4" w:space="0" w:color="auto"/>
              <w:right w:val="single" w:sz="4" w:space="0" w:color="auto"/>
            </w:tcBorders>
            <w:vAlign w:val="bottom"/>
          </w:tcPr>
          <w:p w14:paraId="2C61EADE" w14:textId="6AED04CB"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 xml:space="preserve">40 </w:t>
            </w:r>
            <w:proofErr w:type="spellStart"/>
            <w:r w:rsidRPr="00525C25">
              <w:rPr>
                <w:rFonts w:ascii="Times New Roman" w:hAnsi="Times New Roman"/>
              </w:rPr>
              <w:t>ms</w:t>
            </w:r>
            <w:proofErr w:type="spellEnd"/>
            <w:r w:rsidRPr="00525C25">
              <w:rPr>
                <w:rFonts w:ascii="Times New Roman" w:hAnsi="Times New Roman"/>
              </w:rPr>
              <w:t xml:space="preserve"> </w:t>
            </w:r>
          </w:p>
        </w:tc>
        <w:tc>
          <w:tcPr>
            <w:tcW w:w="1685" w:type="dxa"/>
            <w:tcBorders>
              <w:top w:val="single" w:sz="4" w:space="0" w:color="auto"/>
              <w:left w:val="single" w:sz="4" w:space="0" w:color="auto"/>
              <w:bottom w:val="single" w:sz="4" w:space="0" w:color="auto"/>
              <w:right w:val="single" w:sz="4" w:space="0" w:color="auto"/>
            </w:tcBorders>
          </w:tcPr>
          <w:p w14:paraId="71B13219" w14:textId="77777777" w:rsidR="002747EA" w:rsidRDefault="002747EA" w:rsidP="00736FDE">
            <w:pPr>
              <w:pStyle w:val="TAC"/>
              <w:spacing w:before="20" w:after="20"/>
              <w:ind w:left="57" w:right="57"/>
              <w:rPr>
                <w:rFonts w:ascii="Times New Roman" w:hAnsi="Times New Roman"/>
              </w:rPr>
            </w:pPr>
          </w:p>
          <w:p w14:paraId="3BD40953" w14:textId="1C272114" w:rsidR="002747EA" w:rsidRPr="00525C25" w:rsidRDefault="002747EA" w:rsidP="002747EA">
            <w:pPr>
              <w:pStyle w:val="TAC"/>
              <w:spacing w:before="20" w:after="20"/>
              <w:ind w:left="57" w:right="57"/>
              <w:rPr>
                <w:rFonts w:ascii="Times New Roman" w:hAnsi="Times New Roman"/>
              </w:rPr>
            </w:pPr>
            <w:r w:rsidRPr="00525C25">
              <w:rPr>
                <w:rFonts w:ascii="Times New Roman" w:hAnsi="Times New Roman"/>
              </w:rPr>
              <w:t xml:space="preserve">40 </w:t>
            </w:r>
            <w:proofErr w:type="spellStart"/>
            <w:r w:rsidRPr="00525C25">
              <w:rPr>
                <w:rFonts w:ascii="Times New Roman" w:hAnsi="Times New Roman"/>
              </w:rPr>
              <w:t>ms</w:t>
            </w:r>
            <w:proofErr w:type="spellEnd"/>
          </w:p>
        </w:tc>
      </w:tr>
      <w:tr w:rsidR="002747EA" w:rsidRPr="00525C25" w14:paraId="1F34044D" w14:textId="26239E48" w:rsidTr="00957AE7">
        <w:trPr>
          <w:trHeight w:val="252"/>
          <w:jc w:val="center"/>
        </w:trPr>
        <w:tc>
          <w:tcPr>
            <w:tcW w:w="1684" w:type="dxa"/>
            <w:tcBorders>
              <w:top w:val="single" w:sz="4" w:space="0" w:color="auto"/>
            </w:tcBorders>
            <w:noWrap/>
            <w:vAlign w:val="bottom"/>
          </w:tcPr>
          <w:p w14:paraId="0BF44D37" w14:textId="0A337E5D" w:rsidR="002747EA" w:rsidRPr="00525C25" w:rsidRDefault="002747EA" w:rsidP="00736FDE">
            <w:pPr>
              <w:pStyle w:val="TAC"/>
              <w:spacing w:before="20" w:after="20"/>
              <w:ind w:left="57" w:right="57"/>
              <w:rPr>
                <w:rFonts w:ascii="Times New Roman" w:hAnsi="Times New Roman"/>
              </w:rPr>
            </w:pPr>
            <w:r>
              <w:rPr>
                <w:rFonts w:ascii="Times New Roman" w:hAnsi="Times New Roman"/>
              </w:rPr>
              <w:t>Early Cell Preparation</w:t>
            </w:r>
          </w:p>
        </w:tc>
        <w:tc>
          <w:tcPr>
            <w:tcW w:w="1685" w:type="dxa"/>
            <w:tcBorders>
              <w:top w:val="single" w:sz="4" w:space="0" w:color="auto"/>
            </w:tcBorders>
            <w:vAlign w:val="bottom"/>
          </w:tcPr>
          <w:p w14:paraId="3642EE21" w14:textId="6670ACCF" w:rsidR="002747EA" w:rsidRPr="00525C25" w:rsidRDefault="00606601" w:rsidP="00736FDE">
            <w:pPr>
              <w:pStyle w:val="TAC"/>
              <w:spacing w:before="20" w:after="20"/>
              <w:ind w:left="57" w:right="57"/>
              <w:rPr>
                <w:rFonts w:ascii="Times New Roman" w:hAnsi="Times New Roman"/>
              </w:rPr>
            </w:pPr>
            <w:r>
              <w:rPr>
                <w:rFonts w:ascii="Times New Roman" w:hAnsi="Times New Roman"/>
              </w:rPr>
              <w:t>Not applicable</w:t>
            </w:r>
          </w:p>
        </w:tc>
        <w:tc>
          <w:tcPr>
            <w:tcW w:w="1685" w:type="dxa"/>
            <w:tcBorders>
              <w:top w:val="single" w:sz="4" w:space="0" w:color="auto"/>
            </w:tcBorders>
            <w:noWrap/>
            <w:vAlign w:val="bottom"/>
          </w:tcPr>
          <w:p w14:paraId="40B635D7" w14:textId="2B42B922"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Enabled</w:t>
            </w:r>
          </w:p>
        </w:tc>
        <w:tc>
          <w:tcPr>
            <w:tcW w:w="1685" w:type="dxa"/>
            <w:tcBorders>
              <w:top w:val="single" w:sz="4" w:space="0" w:color="auto"/>
            </w:tcBorders>
            <w:vAlign w:val="bottom"/>
          </w:tcPr>
          <w:p w14:paraId="293C4862" w14:textId="77777777"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Enabled</w:t>
            </w:r>
          </w:p>
        </w:tc>
        <w:tc>
          <w:tcPr>
            <w:tcW w:w="1685" w:type="dxa"/>
            <w:tcBorders>
              <w:top w:val="single" w:sz="4" w:space="0" w:color="auto"/>
            </w:tcBorders>
            <w:vAlign w:val="bottom"/>
          </w:tcPr>
          <w:p w14:paraId="08B191D3" w14:textId="77777777"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Enabled</w:t>
            </w:r>
          </w:p>
        </w:tc>
        <w:tc>
          <w:tcPr>
            <w:tcW w:w="1685" w:type="dxa"/>
            <w:tcBorders>
              <w:top w:val="single" w:sz="4" w:space="0" w:color="auto"/>
            </w:tcBorders>
          </w:tcPr>
          <w:p w14:paraId="4B063473" w14:textId="77777777" w:rsidR="002747EA" w:rsidRDefault="002747EA" w:rsidP="00736FDE">
            <w:pPr>
              <w:pStyle w:val="TAC"/>
              <w:spacing w:before="20" w:after="20"/>
              <w:ind w:left="57" w:right="57"/>
              <w:rPr>
                <w:rFonts w:ascii="Times New Roman" w:hAnsi="Times New Roman"/>
              </w:rPr>
            </w:pPr>
          </w:p>
          <w:p w14:paraId="3F7BE9A0" w14:textId="3256E7C5"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Enabled</w:t>
            </w:r>
          </w:p>
        </w:tc>
      </w:tr>
      <w:tr w:rsidR="002747EA" w:rsidRPr="00525C25" w14:paraId="6A34F704" w14:textId="023EE18C" w:rsidTr="00957AE7">
        <w:trPr>
          <w:trHeight w:val="252"/>
          <w:jc w:val="center"/>
        </w:trPr>
        <w:tc>
          <w:tcPr>
            <w:tcW w:w="1684" w:type="dxa"/>
            <w:noWrap/>
            <w:vAlign w:val="bottom"/>
          </w:tcPr>
          <w:p w14:paraId="2995BDBD" w14:textId="701984A1"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 xml:space="preserve">HO interruption time </w:t>
            </w:r>
          </w:p>
        </w:tc>
        <w:tc>
          <w:tcPr>
            <w:tcW w:w="1685" w:type="dxa"/>
            <w:vAlign w:val="bottom"/>
          </w:tcPr>
          <w:p w14:paraId="709CC53D" w14:textId="59DBF7CB"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 xml:space="preserve">80 </w:t>
            </w:r>
            <w:proofErr w:type="spellStart"/>
            <w:r w:rsidRPr="00525C25">
              <w:rPr>
                <w:rFonts w:ascii="Times New Roman" w:hAnsi="Times New Roman"/>
              </w:rPr>
              <w:t>ms</w:t>
            </w:r>
            <w:proofErr w:type="spellEnd"/>
            <w:r w:rsidR="00711B8E">
              <w:rPr>
                <w:rFonts w:ascii="Times New Roman" w:hAnsi="Times New Roman"/>
              </w:rPr>
              <w:t xml:space="preserve"> </w:t>
            </w:r>
            <w:r w:rsidR="0000265D" w:rsidRPr="00737D00">
              <w:rPr>
                <w:rFonts w:ascii="Times New Roman" w:hAnsi="Times New Roman"/>
              </w:rPr>
              <w:fldChar w:fldCharType="begin"/>
            </w:r>
            <w:r w:rsidR="0000265D">
              <w:rPr>
                <w:rFonts w:ascii="Times New Roman" w:hAnsi="Times New Roman"/>
              </w:rPr>
              <w:instrText xml:space="preserve"> REF _Ref54161672 \r \h </w:instrText>
            </w:r>
            <w:r w:rsidR="0000265D" w:rsidRPr="00737D00">
              <w:rPr>
                <w:rFonts w:ascii="Times New Roman" w:hAnsi="Times New Roman"/>
              </w:rPr>
            </w:r>
            <w:r w:rsidR="0000265D" w:rsidRPr="00737D00">
              <w:rPr>
                <w:rFonts w:ascii="Times New Roman" w:hAnsi="Times New Roman"/>
              </w:rPr>
              <w:fldChar w:fldCharType="separate"/>
            </w:r>
            <w:r w:rsidR="0000265D">
              <w:rPr>
                <w:rFonts w:ascii="Times New Roman" w:hAnsi="Times New Roman"/>
              </w:rPr>
              <w:t>[4]</w:t>
            </w:r>
            <w:r w:rsidR="0000265D" w:rsidRPr="00737D00">
              <w:rPr>
                <w:rFonts w:ascii="Times New Roman" w:hAnsi="Times New Roman"/>
              </w:rPr>
              <w:fldChar w:fldCharType="end"/>
            </w:r>
          </w:p>
        </w:tc>
        <w:tc>
          <w:tcPr>
            <w:tcW w:w="1685" w:type="dxa"/>
            <w:noWrap/>
            <w:vAlign w:val="bottom"/>
          </w:tcPr>
          <w:p w14:paraId="49479D3C" w14:textId="77777777"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 xml:space="preserve">80 </w:t>
            </w:r>
            <w:proofErr w:type="spellStart"/>
            <w:r w:rsidRPr="00525C25">
              <w:rPr>
                <w:rFonts w:ascii="Times New Roman" w:hAnsi="Times New Roman"/>
              </w:rPr>
              <w:t>ms</w:t>
            </w:r>
            <w:proofErr w:type="spellEnd"/>
          </w:p>
        </w:tc>
        <w:tc>
          <w:tcPr>
            <w:tcW w:w="1685" w:type="dxa"/>
            <w:vAlign w:val="bottom"/>
          </w:tcPr>
          <w:p w14:paraId="5B67EC2C" w14:textId="24CE2439" w:rsidR="002747EA" w:rsidRPr="00525C25" w:rsidRDefault="002747EA" w:rsidP="00736FDE">
            <w:pPr>
              <w:pStyle w:val="TAC"/>
              <w:spacing w:before="20" w:after="20"/>
              <w:ind w:left="57" w:right="57"/>
              <w:rPr>
                <w:rFonts w:ascii="Times New Roman" w:hAnsi="Times New Roman"/>
              </w:rPr>
            </w:pPr>
            <w:r>
              <w:rPr>
                <w:rFonts w:ascii="Times New Roman" w:hAnsi="Times New Roman"/>
              </w:rPr>
              <w:t>80</w:t>
            </w:r>
            <w:r w:rsidRPr="00525C25">
              <w:rPr>
                <w:rFonts w:ascii="Times New Roman" w:hAnsi="Times New Roman"/>
              </w:rPr>
              <w:t xml:space="preserve"> </w:t>
            </w:r>
            <w:proofErr w:type="spellStart"/>
            <w:r w:rsidRPr="00525C25">
              <w:rPr>
                <w:rFonts w:ascii="Times New Roman" w:hAnsi="Times New Roman"/>
              </w:rPr>
              <w:t>ms</w:t>
            </w:r>
            <w:proofErr w:type="spellEnd"/>
          </w:p>
        </w:tc>
        <w:tc>
          <w:tcPr>
            <w:tcW w:w="1685" w:type="dxa"/>
            <w:vAlign w:val="bottom"/>
          </w:tcPr>
          <w:p w14:paraId="3CDC4AF9" w14:textId="042B40D9" w:rsidR="002747EA" w:rsidRPr="00525C25" w:rsidRDefault="002747EA" w:rsidP="00736FDE">
            <w:pPr>
              <w:pStyle w:val="TAC"/>
              <w:spacing w:before="20" w:after="20"/>
              <w:ind w:left="57" w:right="57"/>
              <w:rPr>
                <w:rFonts w:ascii="Times New Roman" w:hAnsi="Times New Roman"/>
              </w:rPr>
            </w:pPr>
            <w:r>
              <w:rPr>
                <w:rFonts w:ascii="Times New Roman" w:hAnsi="Times New Roman"/>
              </w:rPr>
              <w:t>1</w:t>
            </w:r>
            <w:r w:rsidRPr="00525C25">
              <w:rPr>
                <w:rFonts w:ascii="Times New Roman" w:hAnsi="Times New Roman"/>
              </w:rPr>
              <w:t xml:space="preserve"> </w:t>
            </w:r>
            <w:proofErr w:type="spellStart"/>
            <w:r w:rsidRPr="00525C25">
              <w:rPr>
                <w:rFonts w:ascii="Times New Roman" w:hAnsi="Times New Roman"/>
              </w:rPr>
              <w:t>ms</w:t>
            </w:r>
            <w:proofErr w:type="spellEnd"/>
            <w:r>
              <w:rPr>
                <w:rFonts w:ascii="Times New Roman" w:hAnsi="Times New Roman"/>
              </w:rPr>
              <w:t xml:space="preserve"> </w:t>
            </w:r>
            <w:r w:rsidR="0000265D" w:rsidRPr="00737D00">
              <w:rPr>
                <w:rFonts w:ascii="Times New Roman" w:hAnsi="Times New Roman"/>
              </w:rPr>
              <w:fldChar w:fldCharType="begin"/>
            </w:r>
            <w:r w:rsidR="0000265D">
              <w:rPr>
                <w:rFonts w:ascii="Times New Roman" w:hAnsi="Times New Roman"/>
              </w:rPr>
              <w:instrText xml:space="preserve"> REF _Ref54161672 \r \h </w:instrText>
            </w:r>
            <w:r w:rsidR="0000265D" w:rsidRPr="00737D00">
              <w:rPr>
                <w:rFonts w:ascii="Times New Roman" w:hAnsi="Times New Roman"/>
              </w:rPr>
            </w:r>
            <w:r w:rsidR="0000265D" w:rsidRPr="00737D00">
              <w:rPr>
                <w:rFonts w:ascii="Times New Roman" w:hAnsi="Times New Roman"/>
              </w:rPr>
              <w:fldChar w:fldCharType="separate"/>
            </w:r>
            <w:r w:rsidR="0000265D">
              <w:rPr>
                <w:rFonts w:ascii="Times New Roman" w:hAnsi="Times New Roman"/>
              </w:rPr>
              <w:t>[4]</w:t>
            </w:r>
            <w:r w:rsidR="0000265D" w:rsidRPr="00737D00">
              <w:rPr>
                <w:rFonts w:ascii="Times New Roman" w:hAnsi="Times New Roman"/>
              </w:rPr>
              <w:fldChar w:fldCharType="end"/>
            </w:r>
          </w:p>
        </w:tc>
        <w:tc>
          <w:tcPr>
            <w:tcW w:w="1685" w:type="dxa"/>
          </w:tcPr>
          <w:p w14:paraId="415F6D22" w14:textId="2A45622A" w:rsidR="002747EA" w:rsidRPr="00525C25" w:rsidRDefault="002747EA" w:rsidP="00736FDE">
            <w:pPr>
              <w:pStyle w:val="TAC"/>
              <w:spacing w:before="20" w:after="20"/>
              <w:ind w:left="57" w:right="57"/>
              <w:rPr>
                <w:rFonts w:ascii="Times New Roman" w:hAnsi="Times New Roman"/>
              </w:rPr>
            </w:pPr>
            <w:r>
              <w:rPr>
                <w:rFonts w:ascii="Times New Roman" w:hAnsi="Times New Roman"/>
              </w:rPr>
              <w:t xml:space="preserve">1 </w:t>
            </w:r>
            <w:proofErr w:type="spellStart"/>
            <w:r>
              <w:rPr>
                <w:rFonts w:ascii="Times New Roman" w:hAnsi="Times New Roman"/>
              </w:rPr>
              <w:t>ms</w:t>
            </w:r>
            <w:proofErr w:type="spellEnd"/>
          </w:p>
        </w:tc>
      </w:tr>
      <w:tr w:rsidR="002747EA" w:rsidRPr="00525C25" w14:paraId="0D75CFCE" w14:textId="528ACBD3" w:rsidTr="00957AE7">
        <w:trPr>
          <w:trHeight w:val="252"/>
          <w:jc w:val="center"/>
        </w:trPr>
        <w:tc>
          <w:tcPr>
            <w:tcW w:w="1684" w:type="dxa"/>
            <w:noWrap/>
            <w:vAlign w:val="bottom"/>
          </w:tcPr>
          <w:p w14:paraId="0CF53603" w14:textId="2DF13843" w:rsidR="002747EA" w:rsidRPr="00525C25" w:rsidRDefault="0000265D" w:rsidP="00736FDE">
            <w:pPr>
              <w:pStyle w:val="TAC"/>
              <w:spacing w:before="20" w:after="20"/>
              <w:ind w:left="57" w:right="57"/>
              <w:rPr>
                <w:rFonts w:ascii="Times New Roman" w:hAnsi="Times New Roman"/>
              </w:rPr>
            </w:pPr>
            <w:r>
              <w:rPr>
                <w:rFonts w:ascii="Times New Roman" w:hAnsi="Times New Roman"/>
              </w:rPr>
              <w:t>L3 (</w:t>
            </w:r>
            <w:r w:rsidR="007944C6">
              <w:rPr>
                <w:rFonts w:ascii="Times New Roman" w:hAnsi="Times New Roman"/>
              </w:rPr>
              <w:t>IIR</w:t>
            </w:r>
            <w:r>
              <w:rPr>
                <w:rFonts w:ascii="Times New Roman" w:hAnsi="Times New Roman"/>
              </w:rPr>
              <w:t>)</w:t>
            </w:r>
            <w:r w:rsidR="002747EA">
              <w:rPr>
                <w:rFonts w:ascii="Times New Roman" w:hAnsi="Times New Roman"/>
              </w:rPr>
              <w:t xml:space="preserve"> Filter</w:t>
            </w:r>
          </w:p>
        </w:tc>
        <w:tc>
          <w:tcPr>
            <w:tcW w:w="1685" w:type="dxa"/>
            <w:vAlign w:val="bottom"/>
          </w:tcPr>
          <w:p w14:paraId="2E047D07" w14:textId="3C8DDCB1" w:rsidR="00F37A2E" w:rsidRDefault="002747EA" w:rsidP="00F37A2E">
            <w:pPr>
              <w:pStyle w:val="TAC"/>
              <w:spacing w:before="20" w:after="20"/>
              <w:ind w:left="57" w:right="57"/>
              <w:rPr>
                <w:rFonts w:ascii="Times New Roman" w:hAnsi="Times New Roman"/>
              </w:rPr>
            </w:pPr>
            <w:r w:rsidRPr="00525C25">
              <w:rPr>
                <w:rFonts w:ascii="Times New Roman" w:hAnsi="Times New Roman"/>
              </w:rPr>
              <w:t>Enabled</w:t>
            </w:r>
            <w:r w:rsidR="00F37A2E">
              <w:rPr>
                <w:rFonts w:ascii="Times New Roman" w:hAnsi="Times New Roman"/>
              </w:rPr>
              <w:t xml:space="preserve"> for measurement ID used for cell preparation</w:t>
            </w:r>
          </w:p>
          <w:p w14:paraId="3625D799" w14:textId="7D3D451D" w:rsidR="002747EA" w:rsidRPr="00525C25" w:rsidRDefault="002747EA" w:rsidP="00736FDE">
            <w:pPr>
              <w:pStyle w:val="TAC"/>
              <w:spacing w:before="20" w:after="20"/>
              <w:ind w:left="57" w:right="57"/>
              <w:rPr>
                <w:rFonts w:ascii="Times New Roman" w:hAnsi="Times New Roman"/>
              </w:rPr>
            </w:pPr>
          </w:p>
        </w:tc>
        <w:tc>
          <w:tcPr>
            <w:tcW w:w="1685" w:type="dxa"/>
            <w:noWrap/>
            <w:vAlign w:val="bottom"/>
          </w:tcPr>
          <w:p w14:paraId="42C9B657" w14:textId="0BAFC601" w:rsidR="00F37A2E" w:rsidRDefault="00F37A2E" w:rsidP="00F37A2E">
            <w:pPr>
              <w:pStyle w:val="TAC"/>
              <w:spacing w:before="20" w:after="20"/>
              <w:ind w:left="57" w:right="57"/>
              <w:rPr>
                <w:rFonts w:ascii="Times New Roman" w:hAnsi="Times New Roman"/>
              </w:rPr>
            </w:pPr>
            <w:r w:rsidRPr="00525C25">
              <w:rPr>
                <w:rFonts w:ascii="Times New Roman" w:hAnsi="Times New Roman"/>
              </w:rPr>
              <w:t>Enabled</w:t>
            </w:r>
            <w:r>
              <w:rPr>
                <w:rFonts w:ascii="Times New Roman" w:hAnsi="Times New Roman"/>
              </w:rPr>
              <w:t xml:space="preserve"> for measurement ID used for cell preparation</w:t>
            </w:r>
          </w:p>
          <w:p w14:paraId="4F64F17C" w14:textId="77777777" w:rsidR="00F37A2E" w:rsidRDefault="00F37A2E" w:rsidP="00F37A2E">
            <w:pPr>
              <w:pStyle w:val="TAC"/>
              <w:spacing w:before="20" w:after="20"/>
              <w:ind w:left="57" w:right="57"/>
              <w:rPr>
                <w:rFonts w:ascii="Times New Roman" w:hAnsi="Times New Roman"/>
              </w:rPr>
            </w:pPr>
          </w:p>
          <w:p w14:paraId="64CCDF7F" w14:textId="03353506" w:rsidR="002747EA" w:rsidRPr="00525C25" w:rsidRDefault="00F37A2E" w:rsidP="00736FDE">
            <w:pPr>
              <w:pStyle w:val="TAC"/>
              <w:spacing w:before="20" w:after="20"/>
              <w:ind w:left="57" w:right="57"/>
              <w:rPr>
                <w:rFonts w:ascii="Times New Roman" w:hAnsi="Times New Roman"/>
              </w:rPr>
            </w:pPr>
            <w:r>
              <w:rPr>
                <w:rFonts w:ascii="Times New Roman" w:hAnsi="Times New Roman"/>
              </w:rPr>
              <w:t>Enabled for measurement ID used for CHO execution</w:t>
            </w:r>
          </w:p>
        </w:tc>
        <w:tc>
          <w:tcPr>
            <w:tcW w:w="1685" w:type="dxa"/>
            <w:vAlign w:val="bottom"/>
          </w:tcPr>
          <w:p w14:paraId="29179422" w14:textId="2B3FD004" w:rsidR="00E35326" w:rsidRDefault="00E35326" w:rsidP="00E35326">
            <w:pPr>
              <w:pStyle w:val="TAC"/>
              <w:spacing w:before="20" w:after="20"/>
              <w:ind w:left="57" w:right="57"/>
              <w:rPr>
                <w:rFonts w:ascii="Times New Roman" w:hAnsi="Times New Roman"/>
              </w:rPr>
            </w:pPr>
            <w:r w:rsidRPr="00525C25">
              <w:rPr>
                <w:rFonts w:ascii="Times New Roman" w:hAnsi="Times New Roman"/>
              </w:rPr>
              <w:t xml:space="preserve"> Enabled</w:t>
            </w:r>
            <w:r>
              <w:rPr>
                <w:rFonts w:ascii="Times New Roman" w:hAnsi="Times New Roman"/>
              </w:rPr>
              <w:t xml:space="preserve"> for measurement ID used for cell preparation</w:t>
            </w:r>
          </w:p>
          <w:p w14:paraId="089AB1A0" w14:textId="77777777" w:rsidR="00E35326" w:rsidRDefault="00E35326" w:rsidP="00E35326">
            <w:pPr>
              <w:pStyle w:val="TAC"/>
              <w:spacing w:before="20" w:after="20"/>
              <w:ind w:left="57" w:right="57"/>
              <w:rPr>
                <w:rFonts w:ascii="Times New Roman" w:hAnsi="Times New Roman"/>
              </w:rPr>
            </w:pPr>
          </w:p>
          <w:p w14:paraId="22A6FFF4" w14:textId="2FAE9D4F" w:rsidR="002747EA" w:rsidRPr="00525C25" w:rsidRDefault="00E35326" w:rsidP="00736FDE">
            <w:pPr>
              <w:pStyle w:val="TAC"/>
              <w:spacing w:before="20" w:after="20"/>
              <w:ind w:left="57" w:right="57"/>
              <w:rPr>
                <w:rFonts w:ascii="Times New Roman" w:hAnsi="Times New Roman"/>
              </w:rPr>
            </w:pPr>
            <w:r>
              <w:rPr>
                <w:rFonts w:ascii="Times New Roman" w:hAnsi="Times New Roman"/>
              </w:rPr>
              <w:t>Disabled for measurement ID used for CHO execution</w:t>
            </w:r>
            <w:r w:rsidRPr="00525C25" w:rsidDel="00E35326">
              <w:rPr>
                <w:rFonts w:ascii="Times New Roman" w:hAnsi="Times New Roman"/>
              </w:rPr>
              <w:t xml:space="preserve"> </w:t>
            </w:r>
          </w:p>
        </w:tc>
        <w:tc>
          <w:tcPr>
            <w:tcW w:w="1685" w:type="dxa"/>
            <w:vAlign w:val="bottom"/>
          </w:tcPr>
          <w:p w14:paraId="6DDA5EE8" w14:textId="1AA8EFE5" w:rsidR="002747EA" w:rsidRDefault="002747EA" w:rsidP="00736FDE">
            <w:pPr>
              <w:pStyle w:val="TAC"/>
              <w:spacing w:before="20" w:after="20"/>
              <w:ind w:left="57" w:right="57"/>
              <w:rPr>
                <w:rFonts w:ascii="Times New Roman" w:hAnsi="Times New Roman"/>
              </w:rPr>
            </w:pPr>
            <w:r w:rsidRPr="00525C25">
              <w:rPr>
                <w:rFonts w:ascii="Times New Roman" w:hAnsi="Times New Roman"/>
              </w:rPr>
              <w:t>Enabled</w:t>
            </w:r>
            <w:r w:rsidR="00F37A2E">
              <w:rPr>
                <w:rFonts w:ascii="Times New Roman" w:hAnsi="Times New Roman"/>
              </w:rPr>
              <w:t xml:space="preserve"> for measurement ID used for </w:t>
            </w:r>
            <w:r w:rsidR="007944C6">
              <w:rPr>
                <w:rFonts w:ascii="Times New Roman" w:hAnsi="Times New Roman"/>
              </w:rPr>
              <w:t>cell preparation</w:t>
            </w:r>
            <w:r w:rsidR="00F37A2E">
              <w:rPr>
                <w:rFonts w:ascii="Times New Roman" w:hAnsi="Times New Roman"/>
              </w:rPr>
              <w:t>.</w:t>
            </w:r>
          </w:p>
          <w:p w14:paraId="53937C1F" w14:textId="77777777" w:rsidR="00F37A2E" w:rsidRDefault="00F37A2E" w:rsidP="00210A54">
            <w:pPr>
              <w:pStyle w:val="TAC"/>
              <w:spacing w:before="20" w:after="20"/>
              <w:ind w:left="57" w:right="57"/>
              <w:rPr>
                <w:rFonts w:ascii="Times New Roman" w:hAnsi="Times New Roman"/>
              </w:rPr>
            </w:pPr>
          </w:p>
          <w:p w14:paraId="44267AC5" w14:textId="6EA38B82" w:rsidR="007944C6" w:rsidRDefault="007944C6" w:rsidP="00736FDE">
            <w:pPr>
              <w:pStyle w:val="TAC"/>
              <w:spacing w:before="20" w:after="20"/>
              <w:ind w:left="57" w:right="57"/>
              <w:rPr>
                <w:rFonts w:ascii="Times New Roman" w:hAnsi="Times New Roman"/>
              </w:rPr>
            </w:pPr>
            <w:r>
              <w:rPr>
                <w:rFonts w:ascii="Times New Roman" w:hAnsi="Times New Roman"/>
              </w:rPr>
              <w:t xml:space="preserve">Disabled </w:t>
            </w:r>
            <w:r w:rsidR="00F37A2E">
              <w:rPr>
                <w:rFonts w:ascii="Times New Roman" w:hAnsi="Times New Roman"/>
              </w:rPr>
              <w:t xml:space="preserve">for </w:t>
            </w:r>
            <w:r w:rsidRPr="00207647">
              <w:rPr>
                <w:rFonts w:ascii="Times New Roman" w:hAnsi="Times New Roman"/>
              </w:rPr>
              <w:t>HO</w:t>
            </w:r>
            <w:r w:rsidR="00207647" w:rsidRPr="00207647">
              <w:rPr>
                <w:rFonts w:ascii="Times New Roman" w:hAnsi="Times New Roman"/>
              </w:rPr>
              <w:t xml:space="preserve"> </w:t>
            </w:r>
            <w:r w:rsidRPr="00207647">
              <w:rPr>
                <w:rFonts w:ascii="Times New Roman" w:hAnsi="Times New Roman"/>
              </w:rPr>
              <w:t>execution</w:t>
            </w:r>
          </w:p>
          <w:p w14:paraId="7BB5EDEE" w14:textId="400DD613" w:rsidR="007944C6" w:rsidRPr="00525C25" w:rsidRDefault="007944C6" w:rsidP="00957AE7">
            <w:pPr>
              <w:pStyle w:val="TAC"/>
              <w:spacing w:before="20" w:after="20"/>
              <w:ind w:left="57" w:right="57"/>
              <w:jc w:val="left"/>
              <w:rPr>
                <w:rFonts w:ascii="Times New Roman" w:hAnsi="Times New Roman"/>
              </w:rPr>
            </w:pPr>
          </w:p>
        </w:tc>
        <w:tc>
          <w:tcPr>
            <w:tcW w:w="1685" w:type="dxa"/>
          </w:tcPr>
          <w:p w14:paraId="3C3D36EB" w14:textId="213BAC77" w:rsidR="007944C6" w:rsidRDefault="007944C6" w:rsidP="007944C6">
            <w:pPr>
              <w:pStyle w:val="TAC"/>
              <w:spacing w:before="20" w:after="20"/>
              <w:ind w:left="57" w:right="57"/>
              <w:rPr>
                <w:rFonts w:ascii="Times New Roman" w:hAnsi="Times New Roman"/>
              </w:rPr>
            </w:pPr>
            <w:r w:rsidRPr="00525C25">
              <w:rPr>
                <w:rFonts w:ascii="Times New Roman" w:hAnsi="Times New Roman"/>
              </w:rPr>
              <w:t>Enabled</w:t>
            </w:r>
            <w:r w:rsidR="00F37A2E">
              <w:rPr>
                <w:rFonts w:ascii="Times New Roman" w:hAnsi="Times New Roman"/>
              </w:rPr>
              <w:t xml:space="preserve"> for measurement ID used for </w:t>
            </w:r>
            <w:r>
              <w:rPr>
                <w:rFonts w:ascii="Times New Roman" w:hAnsi="Times New Roman"/>
              </w:rPr>
              <w:t>cell preparation</w:t>
            </w:r>
          </w:p>
          <w:p w14:paraId="0546EC98" w14:textId="77777777" w:rsidR="00F37A2E" w:rsidRDefault="00F37A2E" w:rsidP="007944C6">
            <w:pPr>
              <w:pStyle w:val="TAC"/>
              <w:spacing w:before="20" w:after="20"/>
              <w:ind w:left="57" w:right="57"/>
              <w:rPr>
                <w:rFonts w:ascii="Times New Roman" w:hAnsi="Times New Roman"/>
              </w:rPr>
            </w:pPr>
          </w:p>
          <w:p w14:paraId="31BA3039" w14:textId="791150BB" w:rsidR="002747EA" w:rsidRDefault="007944C6" w:rsidP="007944C6">
            <w:pPr>
              <w:pStyle w:val="TAC"/>
              <w:spacing w:before="20" w:after="20"/>
              <w:ind w:left="57" w:right="57"/>
              <w:rPr>
                <w:rFonts w:ascii="Times New Roman" w:hAnsi="Times New Roman"/>
              </w:rPr>
            </w:pPr>
            <w:r>
              <w:rPr>
                <w:rFonts w:ascii="Times New Roman" w:hAnsi="Times New Roman"/>
              </w:rPr>
              <w:t xml:space="preserve">Enabled </w:t>
            </w:r>
            <w:r w:rsidR="00F37A2E">
              <w:rPr>
                <w:rFonts w:ascii="Times New Roman" w:hAnsi="Times New Roman"/>
              </w:rPr>
              <w:t xml:space="preserve">for </w:t>
            </w:r>
            <w:r>
              <w:rPr>
                <w:rFonts w:ascii="Times New Roman" w:hAnsi="Times New Roman"/>
              </w:rPr>
              <w:t>HO execution</w:t>
            </w:r>
          </w:p>
        </w:tc>
      </w:tr>
      <w:tr w:rsidR="002747EA" w:rsidRPr="00525C25" w14:paraId="646D89D0" w14:textId="64B2677A" w:rsidTr="00957AE7">
        <w:trPr>
          <w:trHeight w:val="252"/>
          <w:jc w:val="center"/>
        </w:trPr>
        <w:tc>
          <w:tcPr>
            <w:tcW w:w="1684" w:type="dxa"/>
            <w:noWrap/>
            <w:vAlign w:val="bottom"/>
          </w:tcPr>
          <w:p w14:paraId="7BB1CD8D" w14:textId="28530E7F"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Time-to-Trigger (TTT)</w:t>
            </w:r>
            <w:r w:rsidR="008205A3">
              <w:rPr>
                <w:rFonts w:ascii="Times New Roman" w:hAnsi="Times New Roman"/>
              </w:rPr>
              <w:t xml:space="preserve"> for </w:t>
            </w:r>
            <w:r w:rsidR="008205A3" w:rsidRPr="00525C25">
              <w:rPr>
                <w:rFonts w:ascii="Times New Roman" w:hAnsi="Times New Roman"/>
              </w:rPr>
              <w:t>A3 event</w:t>
            </w:r>
            <w:r w:rsidR="008205A3">
              <w:rPr>
                <w:rFonts w:ascii="Times New Roman" w:hAnsi="Times New Roman"/>
              </w:rPr>
              <w:t xml:space="preserve"> used</w:t>
            </w:r>
            <w:r w:rsidR="00D852CB">
              <w:rPr>
                <w:rFonts w:ascii="Times New Roman" w:hAnsi="Times New Roman"/>
              </w:rPr>
              <w:t xml:space="preserve"> for handover execution</w:t>
            </w:r>
          </w:p>
        </w:tc>
        <w:tc>
          <w:tcPr>
            <w:tcW w:w="1685" w:type="dxa"/>
            <w:vAlign w:val="bottom"/>
          </w:tcPr>
          <w:p w14:paraId="6F279182" w14:textId="77777777"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 xml:space="preserve">160 </w:t>
            </w:r>
            <w:proofErr w:type="spellStart"/>
            <w:r w:rsidRPr="00525C25">
              <w:rPr>
                <w:rFonts w:ascii="Times New Roman" w:hAnsi="Times New Roman"/>
              </w:rPr>
              <w:t>ms</w:t>
            </w:r>
            <w:proofErr w:type="spellEnd"/>
          </w:p>
        </w:tc>
        <w:tc>
          <w:tcPr>
            <w:tcW w:w="1685" w:type="dxa"/>
            <w:noWrap/>
            <w:vAlign w:val="bottom"/>
          </w:tcPr>
          <w:p w14:paraId="5C0608A8" w14:textId="77777777" w:rsidR="002747EA" w:rsidRPr="00525C25" w:rsidRDefault="002747EA" w:rsidP="00736FDE">
            <w:pPr>
              <w:pStyle w:val="TAC"/>
              <w:spacing w:before="20" w:after="20"/>
              <w:ind w:right="57"/>
              <w:rPr>
                <w:rFonts w:ascii="Times New Roman" w:hAnsi="Times New Roman"/>
              </w:rPr>
            </w:pPr>
            <w:r w:rsidRPr="00525C25">
              <w:rPr>
                <w:rFonts w:ascii="Times New Roman" w:hAnsi="Times New Roman"/>
              </w:rPr>
              <w:t xml:space="preserve">160 </w:t>
            </w:r>
            <w:proofErr w:type="spellStart"/>
            <w:r w:rsidRPr="00525C25">
              <w:rPr>
                <w:rFonts w:ascii="Times New Roman" w:hAnsi="Times New Roman"/>
              </w:rPr>
              <w:t>ms</w:t>
            </w:r>
            <w:proofErr w:type="spellEnd"/>
          </w:p>
        </w:tc>
        <w:tc>
          <w:tcPr>
            <w:tcW w:w="1685" w:type="dxa"/>
            <w:vAlign w:val="bottom"/>
          </w:tcPr>
          <w:p w14:paraId="6E870C8A" w14:textId="7DAE7894"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No TTT</w:t>
            </w:r>
            <w:r w:rsidR="00207647" w:rsidRPr="00207647">
              <w:rPr>
                <w:rFonts w:ascii="Times New Roman" w:hAnsi="Times New Roman"/>
              </w:rPr>
              <w:t>,</w:t>
            </w:r>
            <w:r w:rsidRPr="00525C25">
              <w:rPr>
                <w:rFonts w:ascii="Times New Roman" w:hAnsi="Times New Roman"/>
              </w:rPr>
              <w:t xml:space="preserve"> i.e. 0 </w:t>
            </w:r>
            <w:proofErr w:type="spellStart"/>
            <w:r w:rsidRPr="00525C25">
              <w:rPr>
                <w:rFonts w:ascii="Times New Roman" w:hAnsi="Times New Roman"/>
              </w:rPr>
              <w:t>ms</w:t>
            </w:r>
            <w:proofErr w:type="spellEnd"/>
          </w:p>
        </w:tc>
        <w:tc>
          <w:tcPr>
            <w:tcW w:w="1685" w:type="dxa"/>
            <w:vAlign w:val="bottom"/>
          </w:tcPr>
          <w:p w14:paraId="4DF8FF78" w14:textId="267F250F" w:rsidR="002747EA" w:rsidRPr="00525C25" w:rsidRDefault="007944C6" w:rsidP="00736FDE">
            <w:pPr>
              <w:pStyle w:val="TAC"/>
              <w:spacing w:before="20" w:after="20"/>
              <w:ind w:left="57" w:right="57"/>
              <w:rPr>
                <w:rFonts w:ascii="Times New Roman" w:hAnsi="Times New Roman"/>
              </w:rPr>
            </w:pPr>
            <w:r>
              <w:rPr>
                <w:rFonts w:ascii="Times New Roman" w:hAnsi="Times New Roman"/>
              </w:rPr>
              <w:t>Not applicable</w:t>
            </w:r>
          </w:p>
        </w:tc>
        <w:tc>
          <w:tcPr>
            <w:tcW w:w="1685" w:type="dxa"/>
          </w:tcPr>
          <w:p w14:paraId="0EB6B945" w14:textId="77777777" w:rsidR="007944C6" w:rsidRDefault="007944C6" w:rsidP="00736FDE">
            <w:pPr>
              <w:pStyle w:val="TAC"/>
              <w:spacing w:before="20" w:after="20"/>
              <w:ind w:left="57" w:right="57"/>
              <w:rPr>
                <w:rFonts w:ascii="Times New Roman" w:hAnsi="Times New Roman"/>
              </w:rPr>
            </w:pPr>
          </w:p>
          <w:p w14:paraId="3BB0977F" w14:textId="77777777" w:rsidR="006C402C" w:rsidRDefault="006C402C" w:rsidP="006C402C">
            <w:pPr>
              <w:pStyle w:val="TAC"/>
              <w:spacing w:before="20" w:after="20"/>
              <w:ind w:left="57" w:right="57"/>
              <w:rPr>
                <w:rFonts w:ascii="Times New Roman" w:hAnsi="Times New Roman"/>
              </w:rPr>
            </w:pPr>
          </w:p>
          <w:p w14:paraId="2B389F85" w14:textId="7993F1CF" w:rsidR="002747EA" w:rsidRPr="00525C25" w:rsidRDefault="007944C6" w:rsidP="00736FDE">
            <w:pPr>
              <w:pStyle w:val="TAC"/>
              <w:spacing w:before="20" w:after="20"/>
              <w:ind w:left="57" w:right="57"/>
              <w:rPr>
                <w:rFonts w:ascii="Times New Roman" w:hAnsi="Times New Roman"/>
              </w:rPr>
            </w:pPr>
            <w:r>
              <w:rPr>
                <w:rFonts w:ascii="Times New Roman" w:hAnsi="Times New Roman"/>
              </w:rPr>
              <w:t>Not applicable</w:t>
            </w:r>
          </w:p>
        </w:tc>
      </w:tr>
      <w:tr w:rsidR="002747EA" w:rsidRPr="00525C25" w14:paraId="7CD71EEB" w14:textId="54A3E6EE" w:rsidTr="00957AE7">
        <w:trPr>
          <w:trHeight w:val="252"/>
          <w:jc w:val="center"/>
        </w:trPr>
        <w:tc>
          <w:tcPr>
            <w:tcW w:w="1684" w:type="dxa"/>
            <w:noWrap/>
            <w:vAlign w:val="bottom"/>
          </w:tcPr>
          <w:p w14:paraId="594CEDFE" w14:textId="7727F6D6" w:rsidR="002747EA" w:rsidRPr="00525C25" w:rsidRDefault="002747EA" w:rsidP="00736FDE">
            <w:pPr>
              <w:pStyle w:val="TAC"/>
              <w:spacing w:before="20" w:after="20"/>
              <w:ind w:left="57" w:right="57"/>
              <w:rPr>
                <w:rFonts w:ascii="Times New Roman" w:hAnsi="Times New Roman"/>
              </w:rPr>
            </w:pPr>
            <w:r w:rsidRPr="00525C25">
              <w:rPr>
                <w:rFonts w:ascii="Times New Roman" w:hAnsi="Times New Roman"/>
              </w:rPr>
              <w:t>TTT</w:t>
            </w:r>
            <w:r w:rsidR="008205A3">
              <w:rPr>
                <w:rFonts w:ascii="Times New Roman" w:hAnsi="Times New Roman"/>
              </w:rPr>
              <w:t xml:space="preserve"> of A3 event used</w:t>
            </w:r>
            <w:r w:rsidR="00D852CB">
              <w:rPr>
                <w:rFonts w:ascii="Times New Roman" w:hAnsi="Times New Roman"/>
              </w:rPr>
              <w:t xml:space="preserve"> for </w:t>
            </w:r>
            <w:r w:rsidR="008205A3">
              <w:rPr>
                <w:rFonts w:ascii="Times New Roman" w:hAnsi="Times New Roman"/>
              </w:rPr>
              <w:t xml:space="preserve">early </w:t>
            </w:r>
            <w:r w:rsidR="00D852CB">
              <w:rPr>
                <w:rFonts w:ascii="Times New Roman" w:hAnsi="Times New Roman"/>
              </w:rPr>
              <w:t xml:space="preserve">handover </w:t>
            </w:r>
            <w:r w:rsidR="00890A66">
              <w:rPr>
                <w:rFonts w:ascii="Times New Roman" w:hAnsi="Times New Roman"/>
              </w:rPr>
              <w:t>preparation</w:t>
            </w:r>
          </w:p>
        </w:tc>
        <w:tc>
          <w:tcPr>
            <w:tcW w:w="1685" w:type="dxa"/>
            <w:vAlign w:val="bottom"/>
          </w:tcPr>
          <w:p w14:paraId="775305A8" w14:textId="5AA396AC" w:rsidR="002747EA" w:rsidRPr="00525C25" w:rsidRDefault="007944C6" w:rsidP="00736FDE">
            <w:pPr>
              <w:pStyle w:val="TAC"/>
              <w:spacing w:before="20" w:after="20"/>
              <w:ind w:left="57" w:right="57"/>
              <w:rPr>
                <w:rFonts w:ascii="Times New Roman" w:hAnsi="Times New Roman"/>
              </w:rPr>
            </w:pPr>
            <w:r>
              <w:rPr>
                <w:rFonts w:ascii="Times New Roman" w:hAnsi="Times New Roman"/>
              </w:rPr>
              <w:t>Not applicable</w:t>
            </w:r>
          </w:p>
        </w:tc>
        <w:tc>
          <w:tcPr>
            <w:tcW w:w="1685" w:type="dxa"/>
            <w:noWrap/>
            <w:vAlign w:val="bottom"/>
          </w:tcPr>
          <w:p w14:paraId="470CFCCF" w14:textId="47303C4F" w:rsidR="002747EA" w:rsidRPr="00525C25" w:rsidRDefault="007944C6" w:rsidP="00736FDE">
            <w:pPr>
              <w:pStyle w:val="TAC"/>
              <w:spacing w:before="20" w:after="20"/>
              <w:ind w:left="57" w:right="57"/>
              <w:rPr>
                <w:rFonts w:ascii="Times New Roman" w:hAnsi="Times New Roman"/>
              </w:rPr>
            </w:pPr>
            <w:r w:rsidRPr="00525C25">
              <w:rPr>
                <w:rFonts w:ascii="Times New Roman" w:hAnsi="Times New Roman"/>
              </w:rPr>
              <w:t xml:space="preserve">160 </w:t>
            </w:r>
            <w:proofErr w:type="spellStart"/>
            <w:r w:rsidRPr="00525C25">
              <w:rPr>
                <w:rFonts w:ascii="Times New Roman" w:hAnsi="Times New Roman"/>
              </w:rPr>
              <w:t>ms</w:t>
            </w:r>
            <w:proofErr w:type="spellEnd"/>
          </w:p>
        </w:tc>
        <w:tc>
          <w:tcPr>
            <w:tcW w:w="1685" w:type="dxa"/>
            <w:vAlign w:val="bottom"/>
          </w:tcPr>
          <w:p w14:paraId="584B77ED" w14:textId="6358E0CF" w:rsidR="002747EA" w:rsidRPr="00525C25" w:rsidRDefault="007944C6" w:rsidP="00736FDE">
            <w:pPr>
              <w:pStyle w:val="TAC"/>
              <w:spacing w:before="20" w:after="20"/>
              <w:ind w:left="57" w:right="57"/>
              <w:rPr>
                <w:rFonts w:ascii="Times New Roman" w:hAnsi="Times New Roman"/>
              </w:rPr>
            </w:pPr>
            <w:r w:rsidRPr="00525C25">
              <w:rPr>
                <w:rFonts w:ascii="Times New Roman" w:hAnsi="Times New Roman"/>
              </w:rPr>
              <w:t xml:space="preserve">160 </w:t>
            </w:r>
            <w:proofErr w:type="spellStart"/>
            <w:r w:rsidRPr="00525C25">
              <w:rPr>
                <w:rFonts w:ascii="Times New Roman" w:hAnsi="Times New Roman"/>
              </w:rPr>
              <w:t>ms</w:t>
            </w:r>
            <w:proofErr w:type="spellEnd"/>
          </w:p>
        </w:tc>
        <w:tc>
          <w:tcPr>
            <w:tcW w:w="1685" w:type="dxa"/>
            <w:vAlign w:val="bottom"/>
          </w:tcPr>
          <w:p w14:paraId="62449A0F" w14:textId="43E303BA" w:rsidR="002747EA" w:rsidRPr="00525C25" w:rsidRDefault="007944C6" w:rsidP="00736FDE">
            <w:pPr>
              <w:pStyle w:val="TAC"/>
              <w:spacing w:before="20" w:after="20"/>
              <w:ind w:left="57" w:right="57"/>
              <w:rPr>
                <w:rFonts w:ascii="Times New Roman" w:hAnsi="Times New Roman"/>
              </w:rPr>
            </w:pPr>
            <w:r w:rsidRPr="00525C25">
              <w:rPr>
                <w:rFonts w:ascii="Times New Roman" w:hAnsi="Times New Roman"/>
              </w:rPr>
              <w:t xml:space="preserve">160 </w:t>
            </w:r>
            <w:proofErr w:type="spellStart"/>
            <w:r w:rsidRPr="00525C25">
              <w:rPr>
                <w:rFonts w:ascii="Times New Roman" w:hAnsi="Times New Roman"/>
              </w:rPr>
              <w:t>ms</w:t>
            </w:r>
            <w:proofErr w:type="spellEnd"/>
          </w:p>
        </w:tc>
        <w:tc>
          <w:tcPr>
            <w:tcW w:w="1685" w:type="dxa"/>
          </w:tcPr>
          <w:p w14:paraId="29B0CC40" w14:textId="77777777" w:rsidR="007944C6" w:rsidRDefault="007944C6" w:rsidP="00957AE7">
            <w:pPr>
              <w:pStyle w:val="TAC"/>
              <w:spacing w:before="20" w:after="20"/>
              <w:ind w:right="57"/>
              <w:rPr>
                <w:rFonts w:ascii="Times New Roman" w:hAnsi="Times New Roman"/>
              </w:rPr>
            </w:pPr>
          </w:p>
          <w:p w14:paraId="12C81097" w14:textId="77777777" w:rsidR="007944C6" w:rsidRDefault="007944C6" w:rsidP="00736FDE">
            <w:pPr>
              <w:pStyle w:val="TAC"/>
              <w:spacing w:before="20" w:after="20"/>
              <w:ind w:left="57" w:right="57"/>
              <w:rPr>
                <w:rFonts w:ascii="Times New Roman" w:hAnsi="Times New Roman"/>
              </w:rPr>
            </w:pPr>
          </w:p>
          <w:p w14:paraId="188B1BBA" w14:textId="77777777" w:rsidR="006C402C" w:rsidRDefault="006C402C" w:rsidP="008205A3">
            <w:pPr>
              <w:pStyle w:val="TAC"/>
              <w:spacing w:before="20" w:after="20"/>
              <w:ind w:left="57" w:right="57"/>
              <w:rPr>
                <w:rFonts w:ascii="Times New Roman" w:hAnsi="Times New Roman"/>
              </w:rPr>
            </w:pPr>
          </w:p>
          <w:p w14:paraId="2EDF0FAE" w14:textId="0AC3E73F" w:rsidR="002747EA" w:rsidRPr="00525C25" w:rsidRDefault="007944C6" w:rsidP="00736FDE">
            <w:pPr>
              <w:pStyle w:val="TAC"/>
              <w:spacing w:before="20" w:after="20"/>
              <w:ind w:left="57" w:right="57"/>
              <w:rPr>
                <w:rFonts w:ascii="Times New Roman" w:hAnsi="Times New Roman"/>
              </w:rPr>
            </w:pPr>
            <w:r w:rsidRPr="00525C25">
              <w:rPr>
                <w:rFonts w:ascii="Times New Roman" w:hAnsi="Times New Roman"/>
              </w:rPr>
              <w:t xml:space="preserve">160 </w:t>
            </w:r>
            <w:proofErr w:type="spellStart"/>
            <w:r w:rsidRPr="00525C25">
              <w:rPr>
                <w:rFonts w:ascii="Times New Roman" w:hAnsi="Times New Roman"/>
              </w:rPr>
              <w:t>ms</w:t>
            </w:r>
            <w:proofErr w:type="spellEnd"/>
          </w:p>
        </w:tc>
      </w:tr>
    </w:tbl>
    <w:p w14:paraId="33615439" w14:textId="06EB4B9F" w:rsidR="002747EA" w:rsidRDefault="002747EA" w:rsidP="002747EA"/>
    <w:p w14:paraId="63EB66F5" w14:textId="37B0AF6D" w:rsidR="00C1643D" w:rsidRDefault="00851724" w:rsidP="006F5085">
      <w:pPr>
        <w:jc w:val="both"/>
      </w:pPr>
      <w:r>
        <w:t xml:space="preserve">The </w:t>
      </w:r>
      <w:r w:rsidR="006C402C">
        <w:t>target cells are prepared beforehand in</w:t>
      </w:r>
      <w:r>
        <w:t xml:space="preserve"> CHO and </w:t>
      </w:r>
      <w:r w:rsidR="0025712B">
        <w:t>Lower Layer Mobility</w:t>
      </w:r>
      <w:r>
        <w:t xml:space="preserve"> procedure</w:t>
      </w:r>
      <w:r w:rsidR="00FB5312">
        <w:t>s</w:t>
      </w:r>
      <w:r>
        <w:t xml:space="preserve">. </w:t>
      </w:r>
      <w:r w:rsidR="006C402C">
        <w:t>The cell preparation is initiated i</w:t>
      </w:r>
      <w:r>
        <w:t xml:space="preserve">f the </w:t>
      </w:r>
      <w:r w:rsidR="00113BD9">
        <w:t>L</w:t>
      </w:r>
      <w:r>
        <w:t xml:space="preserve">3 cell quality cell measurement of the </w:t>
      </w:r>
      <w:r w:rsidR="00030AB5">
        <w:t>target cell</w:t>
      </w:r>
      <w:r>
        <w:t xml:space="preserve"> is </w:t>
      </w:r>
      <w:r w:rsidR="006C402C">
        <w:t>weaker than</w:t>
      </w:r>
      <w:r>
        <w:t xml:space="preserve"> the serving cell quality </w:t>
      </w:r>
      <w:r w:rsidR="006C402C">
        <w:t>by at most</w:t>
      </w:r>
      <w:r>
        <w:t xml:space="preserve"> 1 dB</w:t>
      </w:r>
      <w:r w:rsidR="006C402C">
        <w:t xml:space="preserve"> margin</w:t>
      </w:r>
      <w:r>
        <w:t xml:space="preserve">. </w:t>
      </w:r>
      <w:r w:rsidR="00676A8F">
        <w:t>In</w:t>
      </w:r>
      <w:r>
        <w:t xml:space="preserve"> CHO, UE can only execute the handover to </w:t>
      </w:r>
      <w:r w:rsidR="0075162A">
        <w:t>a prepared</w:t>
      </w:r>
      <w:r>
        <w:t xml:space="preserve"> target cell.</w:t>
      </w:r>
      <w:r w:rsidDel="00982F56">
        <w:t xml:space="preserve"> </w:t>
      </w:r>
      <w:r>
        <w:t xml:space="preserve">For </w:t>
      </w:r>
      <w:r w:rsidR="0025712B">
        <w:t>Lower Layer Mobility</w:t>
      </w:r>
      <w:r>
        <w:t xml:space="preserve">, UE can only report the L1-RSRP of the prepared </w:t>
      </w:r>
      <w:r w:rsidR="0075162A">
        <w:t>target</w:t>
      </w:r>
      <w:r>
        <w:t xml:space="preserve"> cells</w:t>
      </w:r>
      <w:r w:rsidR="0075162A">
        <w:t xml:space="preserve"> and the network can send a lower layer message to trigger the cell change to one of the prepared target cells</w:t>
      </w:r>
      <w:r>
        <w:t xml:space="preserve">. The interruption time for </w:t>
      </w:r>
      <w:r w:rsidRPr="00CC47B7">
        <w:t>L1/L2</w:t>
      </w:r>
      <w:r w:rsidR="008B4248">
        <w:t xml:space="preserve"> </w:t>
      </w:r>
      <w:r w:rsidRPr="00CC47B7">
        <w:t>(RACH</w:t>
      </w:r>
      <w:r>
        <w:t>-</w:t>
      </w:r>
      <w:r w:rsidRPr="00CC47B7">
        <w:t>less)</w:t>
      </w:r>
      <w:r>
        <w:t xml:space="preserve"> is set to 1 </w:t>
      </w:r>
      <w:proofErr w:type="spellStart"/>
      <w:r>
        <w:t>ms</w:t>
      </w:r>
      <w:proofErr w:type="spellEnd"/>
      <w:r>
        <w:t xml:space="preserve"> [4</w:t>
      </w:r>
      <w:r w:rsidRPr="00207647">
        <w:t>]</w:t>
      </w:r>
      <w:r w:rsidR="00207647" w:rsidRPr="00207647">
        <w:t>,</w:t>
      </w:r>
      <w:r>
        <w:t xml:space="preserve"> assuming that UE has decoded all the RRC configurations of the </w:t>
      </w:r>
      <w:r w:rsidR="003D62D5">
        <w:t>target</w:t>
      </w:r>
      <w:r>
        <w:t xml:space="preserve"> cell beforehand and UE does not need </w:t>
      </w:r>
      <w:r w:rsidR="003D62D5">
        <w:t>to perform random access</w:t>
      </w:r>
      <w:r>
        <w:t xml:space="preserve"> as timing advance (TA) is zero or the same as the serving cell</w:t>
      </w:r>
      <w:r w:rsidR="008205A3">
        <w:t>,</w:t>
      </w:r>
      <w:r w:rsidR="00890A66">
        <w:t xml:space="preserve"> </w:t>
      </w:r>
      <w:r>
        <w:t>i.e.</w:t>
      </w:r>
      <w:r w:rsidR="008205A3">
        <w:t>,</w:t>
      </w:r>
      <w:r>
        <w:t xml:space="preserve"> RACH-less. For other HO procedures, the interruption time is assumed to be 80 </w:t>
      </w:r>
      <w:proofErr w:type="spellStart"/>
      <w:r>
        <w:t>ms</w:t>
      </w:r>
      <w:proofErr w:type="spellEnd"/>
      <w:r w:rsidR="0069365D">
        <w:t xml:space="preserve"> [4]</w:t>
      </w:r>
      <w:r>
        <w:t>.</w:t>
      </w:r>
    </w:p>
    <w:p w14:paraId="77726D98" w14:textId="73D2682C" w:rsidR="002A4A90" w:rsidRDefault="002A4A90" w:rsidP="002A4A90">
      <w:pPr>
        <w:jc w:val="both"/>
      </w:pPr>
      <w:r>
        <w:t xml:space="preserve">The mobility performance of </w:t>
      </w:r>
      <w:r w:rsidR="0025712B">
        <w:t>Lower Layer Mobility</w:t>
      </w:r>
      <w:r w:rsidR="00507138">
        <w:t xml:space="preserve"> (L1 and L1-F)</w:t>
      </w:r>
      <w:r>
        <w:t xml:space="preserve">, baseline handover (BHO) and conditional handover (CHO) is compared in Fig. 4 with respect to normalized number of radio link problems (RLPs), i.e., reception of out-of-sync indications from lower layer, radio link failures (RLFs), handover failures (HOFs), i.e., random access failures, and ping-pongs (PPs), i.e., </w:t>
      </w:r>
      <w:r w:rsidR="00207647" w:rsidRPr="00207647">
        <w:t>back-and-</w:t>
      </w:r>
      <w:r>
        <w:t>forth handovers to same cell within short time. In addition, reliability which is expressed as percentage of time the radio link is not in outage (caused by radio link problem or interruption during successful handover) is shown for each mobility scheme.</w:t>
      </w:r>
    </w:p>
    <w:p w14:paraId="3AC99565" w14:textId="79E3A25E" w:rsidR="002A4A90" w:rsidRDefault="4A87072F" w:rsidP="002A4A90">
      <w:pPr>
        <w:jc w:val="both"/>
        <w:rPr>
          <w:noProof/>
        </w:rPr>
      </w:pPr>
      <w:r>
        <w:rPr>
          <w:noProof/>
        </w:rPr>
        <w:drawing>
          <wp:inline distT="0" distB="0" distL="0" distR="0" wp14:anchorId="37051EA7" wp14:editId="7C7EA7B9">
            <wp:extent cx="3055393" cy="1479532"/>
            <wp:effectExtent l="0" t="0" r="0" b="6985"/>
            <wp:docPr id="3" name="Picture 2"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oel="http://schemas.microsoft.com/office/2019/extlst" id="{8E70B19F-581D-4CB5-0467-6B5E47991EE1}"/>
                        </a:ext>
                      </a:extLst>
                    </a:blip>
                    <a:srcRect l="5848" t="11042" r="9105" b="4239"/>
                    <a:stretch>
                      <a:fillRect/>
                    </a:stretch>
                  </pic:blipFill>
                  <pic:spPr>
                    <a:xfrm>
                      <a:off x="0" y="0"/>
                      <a:ext cx="3055393" cy="1479532"/>
                    </a:xfrm>
                    <a:prstGeom prst="rect">
                      <a:avLst/>
                    </a:prstGeom>
                  </pic:spPr>
                </pic:pic>
              </a:graphicData>
            </a:graphic>
          </wp:inline>
        </w:drawing>
      </w:r>
      <w:r w:rsidR="73071ADF" w:rsidRPr="0D9B68EA">
        <w:rPr>
          <w:noProof/>
        </w:rPr>
        <w:t xml:space="preserve"> </w:t>
      </w:r>
      <w:r w:rsidR="035996DE">
        <w:rPr>
          <w:noProof/>
        </w:rPr>
        <w:drawing>
          <wp:inline distT="0" distB="0" distL="0" distR="0" wp14:anchorId="7D99F913" wp14:editId="2E84C64B">
            <wp:extent cx="3017134" cy="1462570"/>
            <wp:effectExtent l="0" t="0" r="0" b="4445"/>
            <wp:docPr id="4"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oel="http://schemas.microsoft.com/office/2019/extlst" id="{0787B0C3-2127-3FD5-1752-7FD838E52174}"/>
                        </a:ext>
                      </a:extLst>
                    </a:blip>
                    <a:srcRect l="4058" t="9536" r="9477" b="4238"/>
                    <a:stretch>
                      <a:fillRect/>
                    </a:stretch>
                  </pic:blipFill>
                  <pic:spPr>
                    <a:xfrm>
                      <a:off x="0" y="0"/>
                      <a:ext cx="3017134" cy="1462570"/>
                    </a:xfrm>
                    <a:prstGeom prst="rect">
                      <a:avLst/>
                    </a:prstGeom>
                  </pic:spPr>
                </pic:pic>
              </a:graphicData>
            </a:graphic>
          </wp:inline>
        </w:drawing>
      </w:r>
    </w:p>
    <w:p w14:paraId="621644C2" w14:textId="45E19016" w:rsidR="00EE051D" w:rsidRDefault="00EE051D" w:rsidP="00EE051D">
      <w:pPr>
        <w:pStyle w:val="Caption"/>
        <w:jc w:val="center"/>
      </w:pPr>
      <w:r>
        <w:t>Figure 4: Performance evaluation of different mobility procedures – PP and Reliability</w:t>
      </w:r>
    </w:p>
    <w:p w14:paraId="3B310193" w14:textId="77777777" w:rsidR="00EE051D" w:rsidRDefault="00EE051D" w:rsidP="002A4A90">
      <w:pPr>
        <w:jc w:val="both"/>
        <w:rPr>
          <w:noProof/>
        </w:rPr>
      </w:pPr>
    </w:p>
    <w:p w14:paraId="18F655ED" w14:textId="26EF0902" w:rsidR="002A4A90" w:rsidRDefault="398430BE" w:rsidP="002A4A90">
      <w:pPr>
        <w:jc w:val="both"/>
      </w:pPr>
      <w:r>
        <w:rPr>
          <w:noProof/>
        </w:rPr>
        <w:lastRenderedPageBreak/>
        <w:drawing>
          <wp:inline distT="0" distB="0" distL="0" distR="0" wp14:anchorId="667F0B7F" wp14:editId="3881D7D4">
            <wp:extent cx="3021965" cy="1467748"/>
            <wp:effectExtent l="0" t="0" r="6985" b="0"/>
            <wp:docPr id="13"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oel="http://schemas.microsoft.com/office/2019/extlst" id="{91CE5453-2723-BA77-4D4E-ED477B60B25A}"/>
                        </a:ext>
                      </a:extLst>
                    </a:blip>
                    <a:srcRect l="3542" t="9546" r="8940" b="3901"/>
                    <a:stretch>
                      <a:fillRect/>
                    </a:stretch>
                  </pic:blipFill>
                  <pic:spPr>
                    <a:xfrm>
                      <a:off x="0" y="0"/>
                      <a:ext cx="3021965" cy="1467748"/>
                    </a:xfrm>
                    <a:prstGeom prst="rect">
                      <a:avLst/>
                    </a:prstGeom>
                  </pic:spPr>
                </pic:pic>
              </a:graphicData>
            </a:graphic>
          </wp:inline>
        </w:drawing>
      </w:r>
      <w:r w:rsidR="73071ADF" w:rsidRPr="0D9B68EA">
        <w:rPr>
          <w:noProof/>
        </w:rPr>
        <w:t xml:space="preserve"> </w:t>
      </w:r>
      <w:r w:rsidR="793E9AFA">
        <w:rPr>
          <w:noProof/>
        </w:rPr>
        <w:drawing>
          <wp:inline distT="0" distB="0" distL="0" distR="0" wp14:anchorId="15B2D494" wp14:editId="27C6E137">
            <wp:extent cx="3038713" cy="1444188"/>
            <wp:effectExtent l="0" t="0" r="0" b="3810"/>
            <wp:docPr id="6"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1">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oel="http://schemas.microsoft.com/office/2019/extlst" id="{AE0F1042-72E4-BB8F-14AC-C86F46C969D5}"/>
                        </a:ext>
                      </a:extLst>
                    </a:blip>
                    <a:srcRect l="5028" t="11561" r="9382" b="3902"/>
                    <a:stretch>
                      <a:fillRect/>
                    </a:stretch>
                  </pic:blipFill>
                  <pic:spPr>
                    <a:xfrm>
                      <a:off x="0" y="0"/>
                      <a:ext cx="3038713" cy="1444188"/>
                    </a:xfrm>
                    <a:prstGeom prst="rect">
                      <a:avLst/>
                    </a:prstGeom>
                  </pic:spPr>
                </pic:pic>
              </a:graphicData>
            </a:graphic>
          </wp:inline>
        </w:drawing>
      </w:r>
    </w:p>
    <w:p w14:paraId="430BCFCB" w14:textId="00001312" w:rsidR="002A4A90" w:rsidRDefault="002A4A90" w:rsidP="006F5085">
      <w:pPr>
        <w:pStyle w:val="Caption"/>
        <w:jc w:val="center"/>
      </w:pPr>
      <w:r>
        <w:t xml:space="preserve">Figure </w:t>
      </w:r>
      <w:r w:rsidRPr="00737D00">
        <w:fldChar w:fldCharType="begin"/>
      </w:r>
      <w:r>
        <w:instrText>SEQ Figure \* ARABIC</w:instrText>
      </w:r>
      <w:r w:rsidRPr="00737D00">
        <w:fldChar w:fldCharType="separate"/>
      </w:r>
      <w:r w:rsidR="0043628E">
        <w:rPr>
          <w:noProof/>
        </w:rPr>
        <w:t>5</w:t>
      </w:r>
      <w:r w:rsidRPr="00737D00">
        <w:fldChar w:fldCharType="end"/>
      </w:r>
      <w:r>
        <w:t>: Performance evaluation of different mobility procedures</w:t>
      </w:r>
      <w:r w:rsidR="00EE051D">
        <w:t xml:space="preserve"> – RLF and RLP</w:t>
      </w:r>
    </w:p>
    <w:p w14:paraId="303333FA" w14:textId="0B9A679D" w:rsidR="003F57B4" w:rsidRDefault="003E59E1" w:rsidP="002A4A90">
      <w:pPr>
        <w:jc w:val="both"/>
      </w:pPr>
      <w:r>
        <w:t xml:space="preserve">Figure </w:t>
      </w:r>
      <w:r w:rsidR="00DA490E">
        <w:t>5</w:t>
      </w:r>
      <w:r>
        <w:t xml:space="preserve"> shows </w:t>
      </w:r>
      <w:r w:rsidR="002A4A90">
        <w:t>that L1</w:t>
      </w:r>
      <w:r w:rsidR="00D25057">
        <w:t xml:space="preserve"> centric</w:t>
      </w:r>
      <w:r w:rsidR="002A4A90">
        <w:t xml:space="preserve"> mobility reduces the number of RLP</w:t>
      </w:r>
      <w:r w:rsidR="006F75A5">
        <w:t>s</w:t>
      </w:r>
      <w:r w:rsidR="00EE051D">
        <w:t xml:space="preserve"> (Radio Link Problems)</w:t>
      </w:r>
      <w:r w:rsidR="002A4A90">
        <w:t xml:space="preserve"> compared to BHO</w:t>
      </w:r>
      <w:r w:rsidR="00C50979">
        <w:t xml:space="preserve"> and CHO</w:t>
      </w:r>
      <w:r w:rsidR="008205A3">
        <w:t>. This is because the handover is executed based on L1 beam measurements which</w:t>
      </w:r>
      <w:r w:rsidR="002A4A90">
        <w:t xml:space="preserve"> </w:t>
      </w:r>
      <w:r w:rsidR="008205A3">
        <w:t>enable the network to react faster to degradation</w:t>
      </w:r>
      <w:r w:rsidR="003F57B4">
        <w:t>s</w:t>
      </w:r>
      <w:r w:rsidR="008205A3">
        <w:t xml:space="preserve"> in serving radio link that help the UE to escape from the radio link problems. </w:t>
      </w:r>
      <w:r w:rsidR="00D65F11">
        <w:t xml:space="preserve">Although, the number of RLPs is less than CHO </w:t>
      </w:r>
      <w:r w:rsidR="00197280">
        <w:t xml:space="preserve">for L1 mobility, the number of RLFs </w:t>
      </w:r>
      <w:r w:rsidR="00E068D3">
        <w:t xml:space="preserve">is still higher than CHO for L1 mobility. </w:t>
      </w:r>
      <w:r w:rsidR="008632D9">
        <w:t>One explanation</w:t>
      </w:r>
      <w:r w:rsidR="00E65D79">
        <w:t xml:space="preserve"> is that</w:t>
      </w:r>
      <w:r w:rsidR="00E068D3">
        <w:t xml:space="preserve"> </w:t>
      </w:r>
      <w:r w:rsidR="00806279">
        <w:t xml:space="preserve">in L1 mobility the network still needs to send </w:t>
      </w:r>
      <w:r w:rsidR="00A948D4">
        <w:t xml:space="preserve">MAC CE to trigger handover </w:t>
      </w:r>
      <w:r w:rsidR="00F863B9">
        <w:t>which might be lost over the air and leads UE to RLF</w:t>
      </w:r>
      <w:r w:rsidR="004130EE">
        <w:t>, whereas for CHO, UE can directly execute the handover command once the CHO execution condition is satisfied.</w:t>
      </w:r>
      <w:r w:rsidR="00E068D3">
        <w:t xml:space="preserve"> </w:t>
      </w:r>
      <w:r w:rsidR="008205A3">
        <w:t>This gain is achieved at the expense of increased number of PPs.</w:t>
      </w:r>
      <w:r w:rsidR="008A7C0A">
        <w:t xml:space="preserve"> </w:t>
      </w:r>
    </w:p>
    <w:p w14:paraId="25442A49" w14:textId="047AD5A3" w:rsidR="003F57B4" w:rsidRDefault="003F57B4" w:rsidP="002A4A90">
      <w:pPr>
        <w:jc w:val="both"/>
      </w:pPr>
      <w:r w:rsidRPr="006F5085">
        <w:rPr>
          <w:b/>
          <w:bCs/>
        </w:rPr>
        <w:t xml:space="preserve">Observation </w:t>
      </w:r>
      <w:r w:rsidR="0025712B">
        <w:rPr>
          <w:b/>
          <w:bCs/>
        </w:rPr>
        <w:t>10</w:t>
      </w:r>
      <w:r>
        <w:t xml:space="preserve">: </w:t>
      </w:r>
      <w:r w:rsidR="0025712B">
        <w:t>Lower Layer Mobility</w:t>
      </w:r>
      <w:r>
        <w:t xml:space="preserve"> reduces the number of radio link problems compared to baseline and conditional handover at the expense of increased number of ping-pongs.</w:t>
      </w:r>
    </w:p>
    <w:p w14:paraId="14CF03A8" w14:textId="79DD0810" w:rsidR="003F57B4" w:rsidRDefault="003B3F1C" w:rsidP="002A4A90">
      <w:pPr>
        <w:jc w:val="both"/>
      </w:pPr>
      <w:r>
        <w:t>T</w:t>
      </w:r>
      <w:r w:rsidR="002A4A90">
        <w:t xml:space="preserve">he additional </w:t>
      </w:r>
      <w:r>
        <w:t>L3 (</w:t>
      </w:r>
      <w:r w:rsidR="002A4A90">
        <w:t>IIR filter</w:t>
      </w:r>
      <w:r>
        <w:t>) and TTT that are used</w:t>
      </w:r>
      <w:r w:rsidR="002A4A90">
        <w:t xml:space="preserve"> </w:t>
      </w:r>
      <w:r>
        <w:t>by BHO and CHO for handover execution</w:t>
      </w:r>
      <w:r w:rsidR="002A4A90">
        <w:t xml:space="preserve"> can increase the measurement accuracy but also introduc</w:t>
      </w:r>
      <w:r w:rsidR="003F57B4">
        <w:t>e</w:t>
      </w:r>
      <w:r w:rsidR="002A4A90">
        <w:t xml:space="preserve"> additional delay</w:t>
      </w:r>
      <w:r w:rsidR="003F57B4">
        <w:t xml:space="preserve"> for reacting to the degradation in serving radio link</w:t>
      </w:r>
      <w:r w:rsidR="002A4A90">
        <w:t xml:space="preserve">. </w:t>
      </w:r>
      <w:r>
        <w:t>This</w:t>
      </w:r>
      <w:r w:rsidR="003F57B4">
        <w:t xml:space="preserve"> additional</w:t>
      </w:r>
      <w:r>
        <w:t xml:space="preserve"> delay causes higher number of</w:t>
      </w:r>
      <w:r w:rsidR="002A4A90" w:rsidDel="003B3F1C">
        <w:t xml:space="preserve"> </w:t>
      </w:r>
      <w:r w:rsidR="002A4A90">
        <w:t>RLP</w:t>
      </w:r>
      <w:r>
        <w:t>s</w:t>
      </w:r>
      <w:r w:rsidR="002A4A90">
        <w:t xml:space="preserve"> and RLF</w:t>
      </w:r>
      <w:r>
        <w:t>s</w:t>
      </w:r>
      <w:r w:rsidR="002A4A90">
        <w:t xml:space="preserve"> </w:t>
      </w:r>
      <w:r w:rsidR="003F57B4">
        <w:t>than</w:t>
      </w:r>
      <w:r w:rsidR="0058316E">
        <w:t xml:space="preserve"> in</w:t>
      </w:r>
      <w:r w:rsidR="003F57B4">
        <w:t xml:space="preserve"> </w:t>
      </w:r>
      <w:r w:rsidR="0025712B">
        <w:t>Lower Layer Mobility</w:t>
      </w:r>
      <w:r w:rsidR="002A4A90">
        <w:t xml:space="preserve"> but less ping-pongs. </w:t>
      </w:r>
    </w:p>
    <w:p w14:paraId="395CC89A" w14:textId="64B50413" w:rsidR="003F57B4" w:rsidRDefault="003F57B4" w:rsidP="002A4A90">
      <w:pPr>
        <w:jc w:val="both"/>
      </w:pPr>
      <w:r w:rsidRPr="006F5085">
        <w:rPr>
          <w:b/>
          <w:bCs/>
        </w:rPr>
        <w:t xml:space="preserve">Observation </w:t>
      </w:r>
      <w:r w:rsidR="0025712B">
        <w:rPr>
          <w:b/>
          <w:bCs/>
        </w:rPr>
        <w:t>11</w:t>
      </w:r>
      <w:r>
        <w:t>: L3 filtering and TTT cause additional delay for handover execution in baseline and conditional handover,</w:t>
      </w:r>
      <w:r w:rsidR="00DE263F">
        <w:t xml:space="preserve"> </w:t>
      </w:r>
      <w:r>
        <w:t>resulting in higher number of radio link problems and failures</w:t>
      </w:r>
      <w:r w:rsidR="00DE263F">
        <w:t xml:space="preserve">. However, smaller number of ping-pongs is achieved compared to </w:t>
      </w:r>
      <w:r w:rsidR="0025712B">
        <w:t>Lower Layer Mobility</w:t>
      </w:r>
      <w:r w:rsidR="00DE263F">
        <w:t>.</w:t>
      </w:r>
    </w:p>
    <w:p w14:paraId="7BE34B10" w14:textId="40DC59AE" w:rsidR="002A4A90" w:rsidRDefault="006F75A5" w:rsidP="002A4A90">
      <w:pPr>
        <w:jc w:val="both"/>
      </w:pPr>
      <w:r>
        <w:t>Given that t</w:t>
      </w:r>
      <w:r w:rsidR="002A4A90">
        <w:t xml:space="preserve">he interruption time </w:t>
      </w:r>
      <w:r>
        <w:t xml:space="preserve">of each handover is </w:t>
      </w:r>
      <w:r w:rsidR="0074656D">
        <w:t>much smaller</w:t>
      </w:r>
      <w:r w:rsidR="003B3F1C">
        <w:t xml:space="preserve"> </w:t>
      </w:r>
      <w:r w:rsidR="002A4A90">
        <w:t xml:space="preserve">for </w:t>
      </w:r>
      <w:r w:rsidR="0025712B">
        <w:t>Lower Layer Mobility</w:t>
      </w:r>
      <w:r w:rsidR="002A4A90">
        <w:t xml:space="preserve"> </w:t>
      </w:r>
      <w:r w:rsidR="00782F44">
        <w:t>i.e. 1ms</w:t>
      </w:r>
      <w:r w:rsidR="003F57B4">
        <w:t xml:space="preserve"> instead of 80 </w:t>
      </w:r>
      <w:proofErr w:type="spellStart"/>
      <w:r w:rsidR="003F57B4">
        <w:t>ms</w:t>
      </w:r>
      <w:proofErr w:type="spellEnd"/>
      <w:r w:rsidR="003F57B4">
        <w:t xml:space="preserve"> in BHO and CHO</w:t>
      </w:r>
      <w:r w:rsidR="00782F44">
        <w:t>, the high</w:t>
      </w:r>
      <w:r w:rsidR="00495342">
        <w:t>er</w:t>
      </w:r>
      <w:r w:rsidR="00782F44">
        <w:t xml:space="preserve"> number of ping-pongs is not costly </w:t>
      </w:r>
      <w:r w:rsidR="0058316E">
        <w:t>in terms of interruption time</w:t>
      </w:r>
      <w:r w:rsidR="00782F44" w:rsidDel="003F57B4">
        <w:t xml:space="preserve"> </w:t>
      </w:r>
      <w:r w:rsidR="00782F44">
        <w:t xml:space="preserve">and therefore the reliability </w:t>
      </w:r>
      <w:r w:rsidR="003770AA">
        <w:t>of Lower</w:t>
      </w:r>
      <w:r w:rsidR="0025712B">
        <w:t xml:space="preserve"> Layer Mobility</w:t>
      </w:r>
      <w:r w:rsidR="00782F44">
        <w:t xml:space="preserve"> is higher than both BHO and CHO.</w:t>
      </w:r>
    </w:p>
    <w:p w14:paraId="49DA0DE7" w14:textId="11F82644" w:rsidR="001546FD" w:rsidRDefault="001546FD" w:rsidP="002A4A90">
      <w:pPr>
        <w:jc w:val="both"/>
      </w:pPr>
      <w:r w:rsidRPr="0087076B">
        <w:rPr>
          <w:b/>
          <w:bCs/>
        </w:rPr>
        <w:t xml:space="preserve">Observation </w:t>
      </w:r>
      <w:r w:rsidR="0025712B">
        <w:rPr>
          <w:b/>
          <w:bCs/>
        </w:rPr>
        <w:t>12</w:t>
      </w:r>
      <w:r>
        <w:t xml:space="preserve">: As the interruption time during handover is much smaller in </w:t>
      </w:r>
      <w:r w:rsidR="0025712B">
        <w:t>Lower Layer Mobility</w:t>
      </w:r>
      <w:r>
        <w:t xml:space="preserve"> than baseline and conditional handover, the reliability o</w:t>
      </w:r>
      <w:r w:rsidR="000D6ABD">
        <w:t>f the radio link</w:t>
      </w:r>
      <w:r>
        <w:t xml:space="preserve"> (time not in outage) is higher </w:t>
      </w:r>
      <w:r w:rsidR="000D6ABD">
        <w:t xml:space="preserve">in </w:t>
      </w:r>
      <w:r w:rsidR="0025712B">
        <w:t>Lower Layer Mobility</w:t>
      </w:r>
      <w:r w:rsidR="000D6ABD">
        <w:t xml:space="preserve"> despite the increase in the number of ping-pongs.</w:t>
      </w:r>
    </w:p>
    <w:p w14:paraId="46888122" w14:textId="6C4412E5" w:rsidR="002A4A90" w:rsidRDefault="002A4A90" w:rsidP="002A4A90">
      <w:pPr>
        <w:jc w:val="both"/>
      </w:pPr>
      <w:r>
        <w:t xml:space="preserve">In addition, the performance of additional IIR filtering at the network (i.e. </w:t>
      </w:r>
      <w:r w:rsidR="004833BF">
        <w:t xml:space="preserve">scenario L1-F) for L1 beam measurement </w:t>
      </w:r>
      <w:r>
        <w:t xml:space="preserve">is </w:t>
      </w:r>
      <w:r w:rsidR="00012EAE">
        <w:t>evaluated for</w:t>
      </w:r>
      <w:r w:rsidR="002A5A35">
        <w:t xml:space="preserve"> </w:t>
      </w:r>
      <w:r w:rsidR="0025712B">
        <w:t>Lower Layer Mobility</w:t>
      </w:r>
      <w:r>
        <w:t xml:space="preserve">. It is shown that filtering </w:t>
      </w:r>
      <w:r w:rsidR="004833BF">
        <w:t>L1 beam measurements</w:t>
      </w:r>
      <w:r>
        <w:t xml:space="preserve"> can reduce the number of ping-pongs</w:t>
      </w:r>
      <w:r w:rsidR="00782F44">
        <w:t xml:space="preserve"> </w:t>
      </w:r>
      <w:r w:rsidR="002D1276">
        <w:t xml:space="preserve">substantially </w:t>
      </w:r>
      <w:r w:rsidR="00782F44">
        <w:t xml:space="preserve">by almost </w:t>
      </w:r>
      <w:r w:rsidR="00D30CD7">
        <w:t>36</w:t>
      </w:r>
      <w:r w:rsidR="00782F44">
        <w:t>%</w:t>
      </w:r>
      <w:r>
        <w:t xml:space="preserve"> </w:t>
      </w:r>
      <w:r w:rsidR="00815C96">
        <w:t>without impacting the remaining KPIs</w:t>
      </w:r>
      <w:r w:rsidR="00782F44">
        <w:t>.</w:t>
      </w:r>
    </w:p>
    <w:p w14:paraId="7944CC9A" w14:textId="60A740BA" w:rsidR="002D1276" w:rsidRDefault="27DC7AEE" w:rsidP="002A4A90">
      <w:pPr>
        <w:jc w:val="both"/>
      </w:pPr>
      <w:r w:rsidRPr="006F5085">
        <w:rPr>
          <w:b/>
          <w:bCs/>
        </w:rPr>
        <w:t xml:space="preserve">Observation </w:t>
      </w:r>
      <w:r w:rsidR="0025712B">
        <w:rPr>
          <w:b/>
          <w:bCs/>
        </w:rPr>
        <w:t>13</w:t>
      </w:r>
      <w:r>
        <w:t xml:space="preserve">: Filtering the L1 beam measurements can decrease the number of ping-pongs substantially </w:t>
      </w:r>
      <w:r w:rsidR="005E41ED">
        <w:t xml:space="preserve">for </w:t>
      </w:r>
      <w:r w:rsidR="0025712B">
        <w:t>Lower Layer Mobility</w:t>
      </w:r>
      <w:r>
        <w:t>.</w:t>
      </w:r>
    </w:p>
    <w:p w14:paraId="53CE307B" w14:textId="75292FF9" w:rsidR="000C32F7" w:rsidRDefault="00782F44" w:rsidP="002A4A90">
      <w:pPr>
        <w:jc w:val="both"/>
      </w:pPr>
      <w:r>
        <w:t xml:space="preserve">At last, the CHO case without L3 filtering and TTT </w:t>
      </w:r>
      <w:r w:rsidR="008E1F8F">
        <w:t>in execution condition</w:t>
      </w:r>
      <w:r>
        <w:t xml:space="preserve"> (i.e. </w:t>
      </w:r>
      <w:r w:rsidR="008E1F8F">
        <w:t>shown in</w:t>
      </w:r>
      <w:r>
        <w:t xml:space="preserve"> yellow in Fig.</w:t>
      </w:r>
      <w:r w:rsidR="008E1F8F">
        <w:t xml:space="preserve"> </w:t>
      </w:r>
      <w:r w:rsidR="000D39C8">
        <w:t>5</w:t>
      </w:r>
      <w:r>
        <w:t xml:space="preserve">) is compared </w:t>
      </w:r>
      <w:r w:rsidR="008E1F8F">
        <w:t>against</w:t>
      </w:r>
      <w:r>
        <w:t xml:space="preserve"> other mobility procedures. </w:t>
      </w:r>
      <w:r w:rsidR="007605FB">
        <w:t>Disabling</w:t>
      </w:r>
      <w:r>
        <w:t xml:space="preserve"> the </w:t>
      </w:r>
      <w:r w:rsidR="007605FB">
        <w:t xml:space="preserve">L3 </w:t>
      </w:r>
      <w:r>
        <w:t xml:space="preserve">filter and TTT </w:t>
      </w:r>
      <w:r w:rsidR="007605FB">
        <w:t xml:space="preserve">in CHO </w:t>
      </w:r>
      <w:r>
        <w:t xml:space="preserve">leads to high number of ping-pongs, however the number of RLF and RLP </w:t>
      </w:r>
      <w:r w:rsidR="002E4D32">
        <w:t>are</w:t>
      </w:r>
      <w:r>
        <w:t xml:space="preserve"> </w:t>
      </w:r>
      <w:r w:rsidR="00916F35">
        <w:t>slightly</w:t>
      </w:r>
      <w:r>
        <w:t xml:space="preserve"> reduced compared to </w:t>
      </w:r>
      <w:r w:rsidR="0025712B">
        <w:t>Lower Layer Mobility</w:t>
      </w:r>
      <w:r w:rsidR="00C24F7F">
        <w:t xml:space="preserve"> given that the UE autonomously executes the handover</w:t>
      </w:r>
      <w:r>
        <w:t xml:space="preserve">. However, the reliability of </w:t>
      </w:r>
      <w:r w:rsidR="00E220DC">
        <w:t>radio link</w:t>
      </w:r>
      <w:r>
        <w:t xml:space="preserve"> is much worse than CHO and </w:t>
      </w:r>
      <w:r w:rsidR="0025712B">
        <w:t>Lower Layer Mobility</w:t>
      </w:r>
      <w:r>
        <w:t xml:space="preserve"> as the ping-pongs are costly due to 80 </w:t>
      </w:r>
      <w:proofErr w:type="spellStart"/>
      <w:r>
        <w:t>ms</w:t>
      </w:r>
      <w:proofErr w:type="spellEnd"/>
      <w:r>
        <w:t xml:space="preserve"> of interruption time during each handover</w:t>
      </w:r>
      <w:r w:rsidR="00FD3A1B">
        <w:t>.</w:t>
      </w:r>
    </w:p>
    <w:p w14:paraId="1A527FD5" w14:textId="644FC15E" w:rsidR="00E220DC" w:rsidRPr="009E0EB5" w:rsidRDefault="00E220DC" w:rsidP="002A4A90">
      <w:pPr>
        <w:jc w:val="both"/>
      </w:pPr>
      <w:r w:rsidRPr="006F5085">
        <w:rPr>
          <w:b/>
          <w:bCs/>
        </w:rPr>
        <w:t xml:space="preserve">Observation </w:t>
      </w:r>
      <w:r w:rsidR="0025712B">
        <w:rPr>
          <w:b/>
          <w:bCs/>
        </w:rPr>
        <w:t>14</w:t>
      </w:r>
      <w:r w:rsidRPr="0084623B">
        <w:t>:</w:t>
      </w:r>
      <w:r w:rsidRPr="006F5085">
        <w:t xml:space="preserve"> Disabling L3 filter and TTT in</w:t>
      </w:r>
      <w:r w:rsidR="00FF5736" w:rsidRPr="006F5085">
        <w:t xml:space="preserve"> CHO condition</w:t>
      </w:r>
      <w:r w:rsidRPr="006F5085">
        <w:t xml:space="preserve"> leads to a smaller reliability than </w:t>
      </w:r>
      <w:r w:rsidR="0025712B">
        <w:t>Lower Layer Mobility</w:t>
      </w:r>
      <w:r w:rsidRPr="006F5085">
        <w:t xml:space="preserve"> since the interruption time in each handover is much higher than that in </w:t>
      </w:r>
      <w:r w:rsidR="0025712B">
        <w:t>Lower Layer Mobility</w:t>
      </w:r>
      <w:r w:rsidRPr="006F5085">
        <w:t>.</w:t>
      </w:r>
    </w:p>
    <w:p w14:paraId="69B7B8E6" w14:textId="359D6CA1" w:rsidR="009339CB" w:rsidRPr="006E13D1" w:rsidRDefault="0030070E" w:rsidP="009339CB">
      <w:pPr>
        <w:pStyle w:val="Heading1"/>
      </w:pPr>
      <w:r>
        <w:t>4</w:t>
      </w:r>
      <w:r w:rsidR="009339CB" w:rsidRPr="006E13D1">
        <w:tab/>
      </w:r>
      <w:r w:rsidR="009339CB">
        <w:t>Conclusion</w:t>
      </w:r>
    </w:p>
    <w:p w14:paraId="6E24B0F4" w14:textId="4EEC499F" w:rsidR="009339CB" w:rsidRPr="000C32F7" w:rsidRDefault="00737D00" w:rsidP="009339CB">
      <w:r>
        <w:t>In t</w:t>
      </w:r>
      <w:r w:rsidR="009339CB" w:rsidRPr="000C32F7">
        <w:t xml:space="preserve">his document </w:t>
      </w:r>
      <w:r>
        <w:t xml:space="preserve">we </w:t>
      </w:r>
      <w:r w:rsidR="009339CB" w:rsidRPr="000C32F7">
        <w:t>ha</w:t>
      </w:r>
      <w:r>
        <w:t>ve</w:t>
      </w:r>
      <w:r w:rsidR="009339CB" w:rsidRPr="000C32F7">
        <w:t xml:space="preserve"> made the following observations:</w:t>
      </w:r>
    </w:p>
    <w:p w14:paraId="5E1C52A0" w14:textId="77777777" w:rsidR="0025712B" w:rsidRDefault="0025712B" w:rsidP="0025712B">
      <w:pPr>
        <w:jc w:val="both"/>
      </w:pPr>
      <w:r w:rsidRPr="002F1B1B">
        <w:rPr>
          <w:b/>
          <w:bCs/>
        </w:rPr>
        <w:t>Observation 1:</w:t>
      </w:r>
      <w:r>
        <w:t xml:space="preserve"> Using ICBM as mandatory precondition for Lower Layer Mobility does not provide any gains regarding the preparation phase. </w:t>
      </w:r>
    </w:p>
    <w:p w14:paraId="7F9AB377" w14:textId="77777777" w:rsidR="0025712B" w:rsidRDefault="0025712B" w:rsidP="0025712B">
      <w:pPr>
        <w:jc w:val="both"/>
      </w:pPr>
      <w:r w:rsidRPr="002F1B1B">
        <w:rPr>
          <w:b/>
          <w:bCs/>
        </w:rPr>
        <w:lastRenderedPageBreak/>
        <w:t xml:space="preserve">Observation </w:t>
      </w:r>
      <w:r>
        <w:rPr>
          <w:b/>
          <w:bCs/>
        </w:rPr>
        <w:t>2</w:t>
      </w:r>
      <w:r w:rsidRPr="002F1B1B">
        <w:rPr>
          <w:b/>
          <w:bCs/>
        </w:rPr>
        <w:t>:</w:t>
      </w:r>
      <w:r>
        <w:t xml:space="preserve"> ICBM in Rel. 17 is defined for intra DU scenarios, whereas Lower Layer Mobility according to </w:t>
      </w:r>
      <w:r w:rsidRPr="00594550">
        <w:t>NR_Mob_enh2</w:t>
      </w:r>
      <w:r>
        <w:t xml:space="preserve"> WI should be defined for both intra and inter DU scenarios. If ICBM is mandatory for Lower Layer Mobility (for intra DU) this would require the development of two</w:t>
      </w:r>
      <w:r w:rsidRPr="002F1B1B">
        <w:t xml:space="preserve"> </w:t>
      </w:r>
      <w:r>
        <w:t xml:space="preserve">Lower Layer Mobility solutions. </w:t>
      </w:r>
    </w:p>
    <w:p w14:paraId="42186317" w14:textId="77777777" w:rsidR="0025712B" w:rsidRDefault="0025712B" w:rsidP="0025712B">
      <w:pPr>
        <w:jc w:val="both"/>
      </w:pPr>
      <w:r w:rsidRPr="005605B5">
        <w:rPr>
          <w:b/>
          <w:bCs/>
        </w:rPr>
        <w:t xml:space="preserve">Observation </w:t>
      </w:r>
      <w:r>
        <w:rPr>
          <w:b/>
          <w:bCs/>
        </w:rPr>
        <w:t>3</w:t>
      </w:r>
      <w:r w:rsidRPr="005605B5">
        <w:rPr>
          <w:b/>
          <w:bCs/>
        </w:rPr>
        <w:t>:</w:t>
      </w:r>
      <w:r>
        <w:t xml:space="preserve"> For dynamic switching of configuration to work from any serving cell within the involved cells, the switching of configurations should allow changing of a sub-set of the parameters of the serving cell.</w:t>
      </w:r>
    </w:p>
    <w:p w14:paraId="3C9E32C9" w14:textId="103C39CF" w:rsidR="0025712B" w:rsidRDefault="0025712B" w:rsidP="0025712B">
      <w:pPr>
        <w:jc w:val="both"/>
      </w:pPr>
      <w:r w:rsidRPr="005605B5">
        <w:rPr>
          <w:b/>
          <w:bCs/>
        </w:rPr>
        <w:t xml:space="preserve">Observation </w:t>
      </w:r>
      <w:r>
        <w:rPr>
          <w:b/>
          <w:bCs/>
        </w:rPr>
        <w:t>4</w:t>
      </w:r>
      <w:r w:rsidRPr="005605B5">
        <w:rPr>
          <w:b/>
          <w:bCs/>
        </w:rPr>
        <w:t>:</w:t>
      </w:r>
      <w:r>
        <w:t xml:space="preserve"> Preparing target cell configuration as </w:t>
      </w:r>
      <w:r w:rsidR="008D5907" w:rsidRPr="00207647">
        <w:t>f</w:t>
      </w:r>
      <w:r>
        <w:t xml:space="preserve">ull configuration involves lower layer reset and increased interruption time even though it </w:t>
      </w:r>
      <w:r w:rsidRPr="00207647">
        <w:t>allow</w:t>
      </w:r>
      <w:r w:rsidR="00207647" w:rsidRPr="00207647">
        <w:t>s</w:t>
      </w:r>
      <w:r>
        <w:t xml:space="preserve"> dynamic switching without configuration mismatch.</w:t>
      </w:r>
    </w:p>
    <w:p w14:paraId="11B0FF2D" w14:textId="77777777" w:rsidR="0025712B" w:rsidRDefault="0025712B" w:rsidP="0025712B">
      <w:pPr>
        <w:jc w:val="both"/>
      </w:pPr>
      <w:r w:rsidRPr="0037486A">
        <w:rPr>
          <w:b/>
          <w:bCs/>
        </w:rPr>
        <w:t>Observation</w:t>
      </w:r>
      <w:r>
        <w:rPr>
          <w:b/>
          <w:bCs/>
        </w:rPr>
        <w:t xml:space="preserve"> 5</w:t>
      </w:r>
      <w:r>
        <w:t>: Triggering the handover based on L1 beam measurements helps to mitigate the radio link degradation on the serving radio link, reduce radio link failure, and hand over the UE earlier to another cell with better radio link.</w:t>
      </w:r>
    </w:p>
    <w:p w14:paraId="4E3A0AB5" w14:textId="77777777" w:rsidR="0025712B" w:rsidRDefault="0025712B" w:rsidP="0025712B">
      <w:pPr>
        <w:jc w:val="both"/>
      </w:pPr>
      <w:r w:rsidRPr="0037486A">
        <w:rPr>
          <w:b/>
          <w:bCs/>
        </w:rPr>
        <w:t>Observation</w:t>
      </w:r>
      <w:r>
        <w:rPr>
          <w:b/>
          <w:bCs/>
        </w:rPr>
        <w:t xml:space="preserve"> 6</w:t>
      </w:r>
      <w:r>
        <w:t>: Triggering of handover based on instantaneous L1 measurements will lead more ping pong and consecutive switching compared to L3 based mobility.</w:t>
      </w:r>
    </w:p>
    <w:p w14:paraId="23B9A5C9" w14:textId="77777777" w:rsidR="0025712B" w:rsidRDefault="0025712B" w:rsidP="0025712B">
      <w:pPr>
        <w:jc w:val="both"/>
      </w:pPr>
      <w:r w:rsidRPr="0037486A">
        <w:rPr>
          <w:b/>
          <w:bCs/>
        </w:rPr>
        <w:t xml:space="preserve">Observation </w:t>
      </w:r>
      <w:r>
        <w:rPr>
          <w:b/>
          <w:bCs/>
        </w:rPr>
        <w:t>7</w:t>
      </w:r>
      <w:r w:rsidRPr="0037486A">
        <w:rPr>
          <w:b/>
          <w:bCs/>
        </w:rPr>
        <w:t>:</w:t>
      </w:r>
      <w:r>
        <w:t xml:space="preserve"> Minimizing the service interruption during handover essential to lessen the impact of increased ping-pongs (or consecutive handovers) in Lower Layer Mobility.</w:t>
      </w:r>
    </w:p>
    <w:p w14:paraId="2419D64E" w14:textId="77777777" w:rsidR="0025712B" w:rsidRDefault="0025712B" w:rsidP="0025712B">
      <w:pPr>
        <w:jc w:val="both"/>
      </w:pPr>
      <w:r w:rsidRPr="0037486A">
        <w:rPr>
          <w:b/>
          <w:bCs/>
        </w:rPr>
        <w:t xml:space="preserve">Observation </w:t>
      </w:r>
      <w:r>
        <w:rPr>
          <w:b/>
          <w:bCs/>
        </w:rPr>
        <w:t>8</w:t>
      </w:r>
      <w:r>
        <w:t>: Lower Layer Mobility can have smaller interruption time than baseline handover by reducing at least RRC procedure delay, T</w:t>
      </w:r>
      <w:r w:rsidRPr="000D57EB">
        <w:rPr>
          <w:vertAlign w:val="subscript"/>
        </w:rPr>
        <w:t>processing</w:t>
      </w:r>
      <w:r>
        <w:t xml:space="preserve"> and the components that are associated with random access (T</w:t>
      </w:r>
      <w:r>
        <w:rPr>
          <w:vertAlign w:val="subscript"/>
        </w:rPr>
        <w:t xml:space="preserve">IU, </w:t>
      </w:r>
      <w:r>
        <w:t>transmission of PRACH preamble and waiting for the RACH response).</w:t>
      </w:r>
    </w:p>
    <w:p w14:paraId="0E3F305A" w14:textId="77777777" w:rsidR="0025712B" w:rsidRDefault="0025712B" w:rsidP="0025712B">
      <w:pPr>
        <w:jc w:val="both"/>
      </w:pPr>
      <w:r w:rsidRPr="0037486A">
        <w:rPr>
          <w:b/>
          <w:bCs/>
        </w:rPr>
        <w:t xml:space="preserve">Observation </w:t>
      </w:r>
      <w:r>
        <w:rPr>
          <w:b/>
          <w:bCs/>
        </w:rPr>
        <w:t>9</w:t>
      </w:r>
      <w:r>
        <w:t>: With L2 controlled mobility in L1/L2 mobility the impact of MAC reset for cell switching can be minimised where DU have the flexibility to trigger the switching based on user plane situation.</w:t>
      </w:r>
    </w:p>
    <w:p w14:paraId="292EA126" w14:textId="77777777" w:rsidR="0025712B" w:rsidRDefault="0025712B" w:rsidP="0025712B">
      <w:pPr>
        <w:jc w:val="both"/>
      </w:pPr>
      <w:r w:rsidRPr="006F5085">
        <w:rPr>
          <w:b/>
          <w:bCs/>
        </w:rPr>
        <w:t xml:space="preserve">Observation </w:t>
      </w:r>
      <w:r>
        <w:rPr>
          <w:b/>
          <w:bCs/>
        </w:rPr>
        <w:t>10</w:t>
      </w:r>
      <w:r>
        <w:t>: Lower Layer Mobility reduces the number of radio link problems compared to baseline and conditional handover at the expense of increased number of ping-pongs.</w:t>
      </w:r>
    </w:p>
    <w:p w14:paraId="7CE8E7F9" w14:textId="77777777" w:rsidR="0025712B" w:rsidRDefault="0025712B" w:rsidP="0025712B">
      <w:pPr>
        <w:jc w:val="both"/>
      </w:pPr>
      <w:r w:rsidRPr="006F5085">
        <w:rPr>
          <w:b/>
          <w:bCs/>
        </w:rPr>
        <w:t xml:space="preserve">Observation </w:t>
      </w:r>
      <w:r>
        <w:rPr>
          <w:b/>
          <w:bCs/>
        </w:rPr>
        <w:t>11</w:t>
      </w:r>
      <w:r>
        <w:t>: L3 filtering and TTT cause additional delay for handover execution in baseline and conditional handover, resulting in higher number of radio link problems and failures. However, smaller number of ping-pongs is achieved compared to Lower Layer Mobility.</w:t>
      </w:r>
    </w:p>
    <w:p w14:paraId="0E182C01" w14:textId="77777777" w:rsidR="0025712B" w:rsidRDefault="0025712B" w:rsidP="0025712B">
      <w:pPr>
        <w:jc w:val="both"/>
      </w:pPr>
      <w:r w:rsidRPr="0087076B">
        <w:rPr>
          <w:b/>
          <w:bCs/>
        </w:rPr>
        <w:t xml:space="preserve">Observation </w:t>
      </w:r>
      <w:r>
        <w:rPr>
          <w:b/>
          <w:bCs/>
        </w:rPr>
        <w:t>12</w:t>
      </w:r>
      <w:r>
        <w:t>: As the interruption time during handover is much smaller in Lower Layer Mobility than baseline and conditional handover, the reliability of the radio link (time not in outage) is higher in Lower Layer Mobility despite the increase in the number of ping-pongs.</w:t>
      </w:r>
    </w:p>
    <w:p w14:paraId="505CCF3F" w14:textId="77777777" w:rsidR="0025712B" w:rsidRDefault="0025712B" w:rsidP="0025712B">
      <w:pPr>
        <w:jc w:val="both"/>
      </w:pPr>
      <w:r w:rsidRPr="006F5085">
        <w:rPr>
          <w:b/>
          <w:bCs/>
        </w:rPr>
        <w:t xml:space="preserve">Observation </w:t>
      </w:r>
      <w:r>
        <w:rPr>
          <w:b/>
          <w:bCs/>
        </w:rPr>
        <w:t>13</w:t>
      </w:r>
      <w:r>
        <w:t>: Filtering the L1 beam measurements can decrease the number of ping-pongs substantially for Lower Layer Mobility.</w:t>
      </w:r>
    </w:p>
    <w:p w14:paraId="13877629" w14:textId="77777777" w:rsidR="0025712B" w:rsidRPr="009E0EB5" w:rsidRDefault="0025712B" w:rsidP="0025712B">
      <w:pPr>
        <w:jc w:val="both"/>
      </w:pPr>
      <w:r w:rsidRPr="006F5085">
        <w:rPr>
          <w:b/>
          <w:bCs/>
        </w:rPr>
        <w:t xml:space="preserve">Observation </w:t>
      </w:r>
      <w:r>
        <w:rPr>
          <w:b/>
          <w:bCs/>
        </w:rPr>
        <w:t>14</w:t>
      </w:r>
      <w:r w:rsidRPr="0084623B">
        <w:t>:</w:t>
      </w:r>
      <w:r w:rsidRPr="006F5085">
        <w:t xml:space="preserve"> Disabling L3 filter and TTT in CHO condition leads to a smaller reliability than </w:t>
      </w:r>
      <w:r>
        <w:t>Lower Layer Mobility</w:t>
      </w:r>
      <w:r w:rsidRPr="006F5085">
        <w:t xml:space="preserve"> since the interruption time in each handover is much higher than that in </w:t>
      </w:r>
      <w:r>
        <w:t>Lower Layer Mobility</w:t>
      </w:r>
      <w:r w:rsidRPr="006F5085">
        <w:t>.</w:t>
      </w:r>
    </w:p>
    <w:p w14:paraId="3BE72BE2" w14:textId="77777777" w:rsidR="009339CB" w:rsidRDefault="009339CB" w:rsidP="009339CB">
      <w:r w:rsidRPr="000C32F7">
        <w:t>And proposed the following:</w:t>
      </w:r>
    </w:p>
    <w:p w14:paraId="203F7CD1" w14:textId="77777777" w:rsidR="00737D00" w:rsidRDefault="00737D00" w:rsidP="00737D00">
      <w:r w:rsidRPr="00543EB0">
        <w:rPr>
          <w:b/>
          <w:bCs/>
        </w:rPr>
        <w:t>Proposal 1:</w:t>
      </w:r>
      <w:r>
        <w:t xml:space="preserve"> Rel.17 ICBM is not prerequisite for using Lower Layer Mobility.</w:t>
      </w:r>
    </w:p>
    <w:p w14:paraId="3EA431D9" w14:textId="77777777" w:rsidR="00737D00" w:rsidRDefault="00737D00" w:rsidP="00737D00">
      <w:r w:rsidRPr="00543EB0">
        <w:rPr>
          <w:b/>
          <w:bCs/>
        </w:rPr>
        <w:t>Proposal 2:</w:t>
      </w:r>
      <w:r>
        <w:t xml:space="preserve"> Lower Layer Mobility for intra-DU case and inter-DU case should be as common as possible. Thus, the relation between Lower Layer Mobility for intra-DU case and inter-DU should be clarified.</w:t>
      </w:r>
    </w:p>
    <w:p w14:paraId="3C191618" w14:textId="77777777" w:rsidR="00737D00" w:rsidRDefault="00737D00" w:rsidP="00737D00">
      <w:r w:rsidRPr="00543EB0">
        <w:rPr>
          <w:b/>
          <w:bCs/>
        </w:rPr>
        <w:t>Proposal 3:</w:t>
      </w:r>
      <w:r>
        <w:t xml:space="preserve"> Considering as starting point the solution of Figure 2, modification procedures are needed for Lower Layer Mobility - similarly to CHO and CPC. </w:t>
      </w:r>
    </w:p>
    <w:p w14:paraId="29715C67" w14:textId="77777777" w:rsidR="00737D00" w:rsidRDefault="00737D00" w:rsidP="00737D00">
      <w:r w:rsidRPr="00543EB0">
        <w:rPr>
          <w:b/>
          <w:bCs/>
        </w:rPr>
        <w:t>Proposal 4:</w:t>
      </w:r>
      <w:r>
        <w:t xml:space="preserve"> RAN2 to consider preparation of target cell configurations capable of dynamic switching without need for full configuration.</w:t>
      </w:r>
    </w:p>
    <w:p w14:paraId="7A8B3333" w14:textId="7CF2B268" w:rsidR="00737D00" w:rsidRPr="000C32F7" w:rsidRDefault="00737D00" w:rsidP="00737D00">
      <w:r w:rsidRPr="00543EB0">
        <w:rPr>
          <w:b/>
          <w:bCs/>
        </w:rPr>
        <w:t>Proposal 5:</w:t>
      </w:r>
      <w:r>
        <w:t xml:space="preserve"> RAN2 to consider RRC modelling to have L1 measurements and TCI state configurations of target cells as common configuration during L1/L2 mobility to minimize signalling overhead and improve processing efficiency at the UE.</w:t>
      </w:r>
    </w:p>
    <w:p w14:paraId="13B33570" w14:textId="77777777" w:rsidR="00047366" w:rsidRPr="0025712B" w:rsidRDefault="00047366" w:rsidP="00047366">
      <w:pPr>
        <w:jc w:val="both"/>
      </w:pPr>
    </w:p>
    <w:p w14:paraId="2277546F" w14:textId="77777777" w:rsidR="009339CB" w:rsidRPr="006E13D1" w:rsidRDefault="009339CB" w:rsidP="009339CB"/>
    <w:p w14:paraId="437BFF21" w14:textId="50FACEB2" w:rsidR="00AB3475" w:rsidRPr="006E13D1" w:rsidRDefault="00AB3475" w:rsidP="00AB3475">
      <w:pPr>
        <w:pStyle w:val="Heading1"/>
      </w:pPr>
      <w:r>
        <w:lastRenderedPageBreak/>
        <w:t>5</w:t>
      </w:r>
      <w:r w:rsidRPr="006E13D1">
        <w:tab/>
      </w:r>
      <w:r>
        <w:t>References</w:t>
      </w:r>
    </w:p>
    <w:p w14:paraId="2379EC5F" w14:textId="0761FA1F" w:rsidR="00AB3475" w:rsidRDefault="00AB3475" w:rsidP="00AB3475">
      <w:pPr>
        <w:numPr>
          <w:ilvl w:val="0"/>
          <w:numId w:val="4"/>
        </w:numPr>
        <w:overflowPunct w:val="0"/>
        <w:autoSpaceDE w:val="0"/>
        <w:autoSpaceDN w:val="0"/>
        <w:adjustRightInd w:val="0"/>
        <w:textAlignment w:val="baseline"/>
      </w:pPr>
      <w:bookmarkStart w:id="2" w:name="_Ref108624858"/>
      <w:r>
        <w:t>TS 38.300, NR; NR and NG-RAN Overall Description; Stage 2 (Release 17).</w:t>
      </w:r>
      <w:bookmarkEnd w:id="2"/>
    </w:p>
    <w:p w14:paraId="110A503C" w14:textId="6C26D1BD" w:rsidR="00C614F7" w:rsidRDefault="00AB3475" w:rsidP="00C614F7">
      <w:pPr>
        <w:numPr>
          <w:ilvl w:val="0"/>
          <w:numId w:val="4"/>
        </w:numPr>
        <w:overflowPunct w:val="0"/>
        <w:autoSpaceDE w:val="0"/>
        <w:autoSpaceDN w:val="0"/>
        <w:adjustRightInd w:val="0"/>
        <w:textAlignment w:val="baseline"/>
      </w:pPr>
      <w:bookmarkStart w:id="3" w:name="_Ref108624861"/>
      <w:r>
        <w:t xml:space="preserve">TS 38.133, </w:t>
      </w:r>
      <w:r w:rsidR="00963E57">
        <w:t xml:space="preserve">NR; </w:t>
      </w:r>
      <w:r>
        <w:t>Requirements for support of radio resource management (Release 17).</w:t>
      </w:r>
      <w:bookmarkEnd w:id="3"/>
    </w:p>
    <w:p w14:paraId="5BC495C1" w14:textId="77777777" w:rsidR="00851724" w:rsidRPr="00543EB0" w:rsidRDefault="00851724" w:rsidP="00851724">
      <w:pPr>
        <w:pStyle w:val="Reference"/>
        <w:numPr>
          <w:ilvl w:val="0"/>
          <w:numId w:val="4"/>
        </w:numPr>
        <w:rPr>
          <w:rFonts w:ascii="Times New Roman" w:hAnsi="Times New Roman" w:cs="Times New Roman"/>
          <w:lang w:val="en-GB"/>
        </w:rPr>
      </w:pPr>
      <w:r w:rsidRPr="00543EB0">
        <w:rPr>
          <w:rFonts w:ascii="Times New Roman" w:hAnsi="Times New Roman" w:cs="Times New Roman"/>
          <w:lang w:val="en-GB"/>
        </w:rPr>
        <w:t>S. Barbera et al., "Synchronized RACH-less handover solution for LTE heterogeneous networks," 2015 International Symposium on Wireless Communication Systems (ISWCS), 2015, pp. 755-759, doi: 10.1109/ISWCS.2015.7454451.</w:t>
      </w:r>
    </w:p>
    <w:p w14:paraId="42D95BA4" w14:textId="60694D83" w:rsidR="003E15E6" w:rsidRPr="00880E2F" w:rsidRDefault="00851724" w:rsidP="00543EB0">
      <w:pPr>
        <w:pStyle w:val="Reference"/>
        <w:numPr>
          <w:ilvl w:val="0"/>
          <w:numId w:val="4"/>
        </w:numPr>
        <w:rPr>
          <w:rFonts w:ascii="Times New Roman" w:hAnsi="Times New Roman" w:cs="Times New Roman"/>
          <w:lang w:val="en-GB"/>
        </w:rPr>
      </w:pPr>
      <w:bookmarkStart w:id="4" w:name="_Ref54161672"/>
      <w:bookmarkStart w:id="5" w:name="_Ref61857901"/>
      <w:r w:rsidRPr="00880E2F">
        <w:rPr>
          <w:rFonts w:ascii="Times New Roman" w:hAnsi="Times New Roman" w:cs="Times New Roman"/>
          <w:lang w:val="en-GB"/>
        </w:rPr>
        <w:t xml:space="preserve">R1-2007151, R17 FeMIMO summary Item 1 EVM - final, Samsung, RAN1#102-e, </w:t>
      </w:r>
      <w:r w:rsidR="003770AA" w:rsidRPr="00880E2F">
        <w:rPr>
          <w:rFonts w:ascii="Times New Roman" w:hAnsi="Times New Roman" w:cs="Times New Roman"/>
          <w:lang w:val="en-GB"/>
        </w:rPr>
        <w:t>August</w:t>
      </w:r>
      <w:r w:rsidRPr="00880E2F">
        <w:rPr>
          <w:rFonts w:ascii="Times New Roman" w:hAnsi="Times New Roman" w:cs="Times New Roman"/>
          <w:lang w:val="en-GB"/>
        </w:rPr>
        <w:t xml:space="preserve"> 2020</w:t>
      </w:r>
      <w:bookmarkEnd w:id="4"/>
      <w:bookmarkEnd w:id="5"/>
    </w:p>
    <w:p w14:paraId="6951B670" w14:textId="6AE5AB1E" w:rsidR="00C614F7" w:rsidRPr="006E13D1" w:rsidRDefault="00C614F7" w:rsidP="00C614F7">
      <w:pPr>
        <w:pStyle w:val="Heading1"/>
      </w:pPr>
      <w:r>
        <w:t>6</w:t>
      </w:r>
      <w:r w:rsidRPr="006E13D1">
        <w:tab/>
      </w:r>
      <w:r>
        <w:t>Appendix</w:t>
      </w:r>
    </w:p>
    <w:p w14:paraId="56EEE39D" w14:textId="2A81C7B0" w:rsidR="009339CB" w:rsidRDefault="00C614F7" w:rsidP="009339CB">
      <w:r>
        <w:t>In the following, we describe the simulation scenario and parameters that are used in the evaluation of L1 centric mobility against baseline handover and CHO.</w:t>
      </w:r>
    </w:p>
    <w:p w14:paraId="4FD66B27" w14:textId="77777777" w:rsidR="00C614F7" w:rsidRDefault="00C614F7" w:rsidP="009339CB"/>
    <w:p w14:paraId="22DA234C" w14:textId="29B6F1EF" w:rsidR="00C227FE" w:rsidRDefault="00C227FE" w:rsidP="00C227FE">
      <w:pPr>
        <w:pStyle w:val="Caption"/>
        <w:keepNext/>
        <w:jc w:val="center"/>
      </w:pPr>
      <w:bookmarkStart w:id="6" w:name="_Ref61867148"/>
      <w:bookmarkStart w:id="7" w:name="_Ref61867130"/>
      <w:r>
        <w:t xml:space="preserve">Table </w:t>
      </w:r>
      <w:bookmarkEnd w:id="6"/>
      <w:r>
        <w:t>2 Simulation parameters for inter-cell mobility</w:t>
      </w:r>
      <w:r>
        <w:rPr>
          <w:noProof/>
        </w:rPr>
        <w:t xml:space="preserve"> </w:t>
      </w:r>
      <w:bookmarkEnd w:id="7"/>
      <w:r>
        <w:rPr>
          <w:noProof/>
        </w:rPr>
        <w:t>scenario</w:t>
      </w:r>
    </w:p>
    <w:tbl>
      <w:tblPr>
        <w:tblStyle w:val="TableGrid1"/>
        <w:tblW w:w="9805" w:type="dxa"/>
        <w:tblLook w:val="04A0" w:firstRow="1" w:lastRow="0" w:firstColumn="1" w:lastColumn="0" w:noHBand="0" w:noVBand="1"/>
      </w:tblPr>
      <w:tblGrid>
        <w:gridCol w:w="2605"/>
        <w:gridCol w:w="7200"/>
      </w:tblGrid>
      <w:tr w:rsidR="00C227FE" w:rsidRPr="005D045E" w14:paraId="49064649" w14:textId="77777777" w:rsidTr="0D9B68EA">
        <w:tc>
          <w:tcPr>
            <w:tcW w:w="2605" w:type="dxa"/>
            <w:shd w:val="clear" w:color="auto" w:fill="D5DCE4" w:themeFill="text2" w:themeFillTint="33"/>
          </w:tcPr>
          <w:p w14:paraId="2588E6AA" w14:textId="77777777" w:rsidR="00C227FE" w:rsidRPr="00543EB0" w:rsidRDefault="00C227FE" w:rsidP="00736FDE">
            <w:pPr>
              <w:snapToGrid w:val="0"/>
              <w:spacing w:after="0"/>
              <w:rPr>
                <w:rFonts w:ascii="Times New Roman" w:eastAsia="Malgun Gothic" w:hAnsi="Times New Roman"/>
                <w:b/>
                <w:sz w:val="18"/>
                <w:szCs w:val="20"/>
                <w:lang w:val="en-GB" w:eastAsia="ko-KR"/>
              </w:rPr>
            </w:pPr>
            <w:r w:rsidRPr="00207647">
              <w:rPr>
                <w:rFonts w:eastAsia="Malgun Gothic"/>
                <w:b/>
                <w:sz w:val="18"/>
                <w:lang w:eastAsia="ko-KR"/>
              </w:rPr>
              <w:t>Parameters</w:t>
            </w:r>
          </w:p>
        </w:tc>
        <w:tc>
          <w:tcPr>
            <w:tcW w:w="7200" w:type="dxa"/>
            <w:shd w:val="clear" w:color="auto" w:fill="D5DCE4" w:themeFill="text2" w:themeFillTint="33"/>
          </w:tcPr>
          <w:p w14:paraId="1005C940" w14:textId="77777777" w:rsidR="00C227FE" w:rsidRPr="00543EB0" w:rsidRDefault="00C227FE" w:rsidP="00736FDE">
            <w:pPr>
              <w:snapToGrid w:val="0"/>
              <w:spacing w:after="0"/>
              <w:rPr>
                <w:rFonts w:ascii="Times New Roman" w:eastAsia="Malgun Gothic" w:hAnsi="Times New Roman"/>
                <w:b/>
                <w:sz w:val="18"/>
                <w:szCs w:val="20"/>
                <w:lang w:val="en-GB" w:eastAsia="ko-KR"/>
              </w:rPr>
            </w:pPr>
            <w:r w:rsidRPr="00207647">
              <w:rPr>
                <w:rFonts w:eastAsia="Malgun Gothic"/>
                <w:b/>
                <w:sz w:val="18"/>
                <w:lang w:eastAsia="ko-KR"/>
              </w:rPr>
              <w:t>Values</w:t>
            </w:r>
          </w:p>
        </w:tc>
      </w:tr>
      <w:tr w:rsidR="00C227FE" w:rsidRPr="005D045E" w14:paraId="0054A0B0" w14:textId="77777777" w:rsidTr="0D9B68EA">
        <w:trPr>
          <w:trHeight w:val="231"/>
        </w:trPr>
        <w:tc>
          <w:tcPr>
            <w:tcW w:w="2605" w:type="dxa"/>
          </w:tcPr>
          <w:p w14:paraId="10C3348A"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Frequency Range</w:t>
            </w:r>
          </w:p>
        </w:tc>
        <w:tc>
          <w:tcPr>
            <w:tcW w:w="7200" w:type="dxa"/>
          </w:tcPr>
          <w:p w14:paraId="2BC359B1" w14:textId="6F66AADC" w:rsidR="00C227FE" w:rsidRPr="00543EB0" w:rsidRDefault="00C227FE" w:rsidP="00736FDE">
            <w:pPr>
              <w:snapToGrid w:val="0"/>
              <w:spacing w:after="0"/>
              <w:rPr>
                <w:rFonts w:ascii="Times New Roman" w:hAnsi="Times New Roman"/>
                <w:sz w:val="18"/>
                <w:szCs w:val="20"/>
                <w:lang w:val="en-GB"/>
              </w:rPr>
            </w:pPr>
            <w:r w:rsidRPr="00207647">
              <w:rPr>
                <w:rFonts w:eastAsia="Malgun Gothic"/>
                <w:sz w:val="18"/>
                <w:lang w:eastAsia="ko-KR"/>
              </w:rPr>
              <w:t xml:space="preserve">FR1 @ 4 GHz, </w:t>
            </w:r>
            <w:r w:rsidRPr="00207647">
              <w:rPr>
                <w:sz w:val="18"/>
              </w:rPr>
              <w:t>SCS: 15 kHz, BW: 10 MHz</w:t>
            </w:r>
          </w:p>
        </w:tc>
      </w:tr>
      <w:tr w:rsidR="00C227FE" w:rsidRPr="005D045E" w14:paraId="017FE887" w14:textId="77777777" w:rsidTr="0D9B68EA">
        <w:tc>
          <w:tcPr>
            <w:tcW w:w="2605" w:type="dxa"/>
          </w:tcPr>
          <w:p w14:paraId="49A53B0E"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BS Antenna Configuration</w:t>
            </w:r>
          </w:p>
        </w:tc>
        <w:tc>
          <w:tcPr>
            <w:tcW w:w="7200" w:type="dxa"/>
          </w:tcPr>
          <w:p w14:paraId="59DE7348" w14:textId="152EDFE9" w:rsidR="00C227FE" w:rsidRPr="00C227FE" w:rsidRDefault="00C227FE" w:rsidP="00C227FE">
            <w:pPr>
              <w:snapToGrid w:val="0"/>
              <w:spacing w:after="0"/>
              <w:rPr>
                <w:rFonts w:ascii="Times New Roman" w:eastAsia="Malgun Gothic" w:hAnsi="Times New Roman"/>
                <w:sz w:val="18"/>
                <w:szCs w:val="20"/>
                <w:lang w:val="en-GB" w:eastAsia="ko-KR"/>
              </w:rPr>
            </w:pPr>
            <w:r w:rsidRPr="00C227FE">
              <w:rPr>
                <w:rFonts w:ascii="Times New Roman" w:eastAsia="Malgun Gothic" w:hAnsi="Times New Roman"/>
                <w:sz w:val="18"/>
                <w:szCs w:val="20"/>
                <w:lang w:val="en-GB" w:eastAsia="ko-KR"/>
              </w:rPr>
              <w:t>2x2 MIMO, 2x4x4 antenna panel config with 8-beams. 1 panel, slant 45, TR</w:t>
            </w:r>
            <w:r w:rsidR="00286F10">
              <w:rPr>
                <w:rFonts w:ascii="Times New Roman" w:eastAsia="Malgun Gothic" w:hAnsi="Times New Roman"/>
                <w:sz w:val="18"/>
                <w:szCs w:val="20"/>
                <w:lang w:val="en-GB" w:eastAsia="ko-KR"/>
              </w:rPr>
              <w:t xml:space="preserve"> </w:t>
            </w:r>
            <w:r w:rsidRPr="00207647">
              <w:rPr>
                <w:rFonts w:eastAsia="Malgun Gothic"/>
                <w:sz w:val="18"/>
                <w:lang w:eastAsia="ko-KR"/>
              </w:rPr>
              <w:t>36.814</w:t>
            </w:r>
          </w:p>
          <w:p w14:paraId="45F9660D" w14:textId="77777777" w:rsidR="00C227FE" w:rsidRPr="00C227FE" w:rsidRDefault="00C227FE" w:rsidP="00C227FE">
            <w:pPr>
              <w:snapToGrid w:val="0"/>
              <w:spacing w:after="0"/>
              <w:rPr>
                <w:rFonts w:ascii="Times New Roman" w:eastAsia="Malgun Gothic" w:hAnsi="Times New Roman"/>
                <w:sz w:val="18"/>
                <w:szCs w:val="20"/>
                <w:lang w:val="en-GB" w:eastAsia="ko-KR"/>
              </w:rPr>
            </w:pPr>
            <w:r w:rsidRPr="00207647">
              <w:rPr>
                <w:rFonts w:eastAsia="Malgun Gothic"/>
                <w:sz w:val="18"/>
                <w:lang w:eastAsia="ko-KR"/>
              </w:rPr>
              <w:t>Azimuth Angles = {40, 60, 80, 100, 120, 140, 65, 115}</w:t>
            </w:r>
          </w:p>
          <w:p w14:paraId="7DA36C55" w14:textId="0BCCD2D9" w:rsidR="00C227FE" w:rsidRPr="00543EB0" w:rsidRDefault="00C227FE" w:rsidP="00C227FE">
            <w:pPr>
              <w:snapToGrid w:val="0"/>
              <w:spacing w:after="0"/>
              <w:rPr>
                <w:rFonts w:ascii="Times New Roman" w:eastAsia="Malgun Gothic" w:hAnsi="Times New Roman"/>
                <w:sz w:val="18"/>
                <w:szCs w:val="20"/>
                <w:lang w:val="en-GB" w:eastAsia="ko-KR"/>
              </w:rPr>
            </w:pPr>
            <w:r w:rsidRPr="00207647">
              <w:rPr>
                <w:rFonts w:eastAsia="Malgun Gothic"/>
                <w:sz w:val="18"/>
                <w:lang w:eastAsia="ko-KR"/>
              </w:rPr>
              <w:t>Elevation Angles = {-20, -20, -20, -20, -20, -20, -35, -35}</w:t>
            </w:r>
          </w:p>
        </w:tc>
      </w:tr>
      <w:tr w:rsidR="00C227FE" w:rsidRPr="005D045E" w14:paraId="79C12622" w14:textId="77777777" w:rsidTr="0D9B68EA">
        <w:tc>
          <w:tcPr>
            <w:tcW w:w="2605" w:type="dxa"/>
          </w:tcPr>
          <w:p w14:paraId="23082909"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UE Antenna Configuration</w:t>
            </w:r>
          </w:p>
        </w:tc>
        <w:tc>
          <w:tcPr>
            <w:tcW w:w="7200" w:type="dxa"/>
          </w:tcPr>
          <w:p w14:paraId="09396415" w14:textId="2FF3AC87" w:rsidR="00C227FE" w:rsidRPr="00543EB0" w:rsidRDefault="00C227FE" w:rsidP="00C227FE">
            <w:pPr>
              <w:snapToGrid w:val="0"/>
              <w:spacing w:after="0"/>
              <w:rPr>
                <w:rFonts w:ascii="Times New Roman" w:eastAsia="Malgun Gothic" w:hAnsi="Times New Roman"/>
                <w:sz w:val="18"/>
                <w:lang w:val="en-GB" w:eastAsia="ko-KR"/>
              </w:rPr>
            </w:pPr>
            <w:r w:rsidRPr="00207647">
              <w:rPr>
                <w:rFonts w:eastAsia="Malgun Gothic"/>
                <w:sz w:val="18"/>
                <w:lang w:eastAsia="ko-KR"/>
              </w:rPr>
              <w:t>Isotropic antenna with max Tx power of 23 dBm</w:t>
            </w:r>
          </w:p>
        </w:tc>
      </w:tr>
      <w:tr w:rsidR="00C227FE" w:rsidRPr="005D045E" w14:paraId="60BAF224" w14:textId="77777777" w:rsidTr="0D9B68EA">
        <w:tc>
          <w:tcPr>
            <w:tcW w:w="2605" w:type="dxa"/>
          </w:tcPr>
          <w:p w14:paraId="01E0E283" w14:textId="4B174B11"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Traffic Model</w:t>
            </w:r>
          </w:p>
        </w:tc>
        <w:tc>
          <w:tcPr>
            <w:tcW w:w="7200" w:type="dxa"/>
          </w:tcPr>
          <w:p w14:paraId="3DBE9666"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543EB0">
              <w:rPr>
                <w:rFonts w:eastAsia="Malgun Gothic"/>
                <w:sz w:val="18"/>
                <w:lang w:val="en-GB" w:eastAsia="ko-KR"/>
              </w:rPr>
              <w:t>Full buffer traffic model. UL traffic is disabled</w:t>
            </w:r>
          </w:p>
          <w:p w14:paraId="2B5E6E51" w14:textId="4BA6169E" w:rsidR="00C227FE" w:rsidRPr="00543EB0" w:rsidRDefault="00C227FE" w:rsidP="00736FDE">
            <w:pPr>
              <w:snapToGrid w:val="0"/>
              <w:spacing w:after="0"/>
              <w:rPr>
                <w:rFonts w:ascii="Times New Roman" w:eastAsia="Malgun Gothic" w:hAnsi="Times New Roman"/>
                <w:sz w:val="18"/>
                <w:szCs w:val="20"/>
                <w:lang w:val="en-GB" w:eastAsia="ko-KR"/>
              </w:rPr>
            </w:pPr>
          </w:p>
        </w:tc>
      </w:tr>
      <w:tr w:rsidR="00C227FE" w:rsidRPr="005D045E" w14:paraId="05E56566" w14:textId="77777777" w:rsidTr="0D9B68EA">
        <w:tc>
          <w:tcPr>
            <w:tcW w:w="2605" w:type="dxa"/>
          </w:tcPr>
          <w:p w14:paraId="7EE84250" w14:textId="77777777" w:rsidR="00C227FE" w:rsidRPr="00543EB0" w:rsidRDefault="00C227FE" w:rsidP="00736FDE">
            <w:pPr>
              <w:snapToGrid w:val="0"/>
              <w:spacing w:after="0"/>
              <w:rPr>
                <w:rFonts w:eastAsia="Malgun Gothic"/>
                <w:sz w:val="18"/>
                <w:lang w:val="en-GB" w:eastAsia="ko-KR"/>
              </w:rPr>
            </w:pPr>
            <w:r w:rsidRPr="00207647">
              <w:rPr>
                <w:rFonts w:eastAsia="Malgun Gothic"/>
                <w:sz w:val="18"/>
                <w:lang w:eastAsia="ko-KR"/>
              </w:rPr>
              <w:t>Link Adaptation</w:t>
            </w:r>
          </w:p>
        </w:tc>
        <w:tc>
          <w:tcPr>
            <w:tcW w:w="7200" w:type="dxa"/>
          </w:tcPr>
          <w:p w14:paraId="2F450534"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Outer loop adaptation + CQI based link adaptation (CSI-RS based measurements)</w:t>
            </w:r>
          </w:p>
        </w:tc>
      </w:tr>
      <w:tr w:rsidR="00C227FE" w:rsidRPr="005D045E" w14:paraId="35C7540D" w14:textId="77777777" w:rsidTr="0D9B68EA">
        <w:tc>
          <w:tcPr>
            <w:tcW w:w="2605" w:type="dxa"/>
            <w:shd w:val="clear" w:color="auto" w:fill="auto"/>
            <w:vAlign w:val="center"/>
          </w:tcPr>
          <w:p w14:paraId="4C6FB4CC"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color w:val="000000"/>
                <w:kern w:val="24"/>
                <w:sz w:val="18"/>
                <w:lang w:eastAsia="ko-KR"/>
              </w:rPr>
              <w:t>Control and RS overhead</w:t>
            </w:r>
          </w:p>
        </w:tc>
        <w:tc>
          <w:tcPr>
            <w:tcW w:w="7200" w:type="dxa"/>
            <w:shd w:val="clear" w:color="auto" w:fill="auto"/>
            <w:vAlign w:val="center"/>
          </w:tcPr>
          <w:p w14:paraId="7477DF88"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~21% (3/14 symbol overhead)</w:t>
            </w:r>
          </w:p>
        </w:tc>
      </w:tr>
      <w:tr w:rsidR="00C227FE" w:rsidRPr="005D045E" w14:paraId="69EBA99D" w14:textId="77777777" w:rsidTr="0D9B68EA">
        <w:tc>
          <w:tcPr>
            <w:tcW w:w="2605" w:type="dxa"/>
            <w:shd w:val="clear" w:color="auto" w:fill="auto"/>
            <w:vAlign w:val="center"/>
          </w:tcPr>
          <w:p w14:paraId="3AF04313" w14:textId="77777777" w:rsidR="00C227FE" w:rsidRPr="00543EB0" w:rsidRDefault="00C227FE" w:rsidP="00736FDE">
            <w:pPr>
              <w:snapToGrid w:val="0"/>
              <w:spacing w:after="0"/>
              <w:rPr>
                <w:rFonts w:eastAsia="Malgun Gothic"/>
                <w:color w:val="000000"/>
                <w:kern w:val="24"/>
                <w:sz w:val="18"/>
                <w:lang w:val="en-GB" w:eastAsia="ko-KR"/>
              </w:rPr>
            </w:pPr>
            <w:r w:rsidRPr="00207647">
              <w:rPr>
                <w:rFonts w:eastAsia="Malgun Gothic"/>
                <w:color w:val="000000"/>
                <w:kern w:val="24"/>
                <w:sz w:val="18"/>
                <w:lang w:eastAsia="ko-KR"/>
              </w:rPr>
              <w:t>Control channel decoding</w:t>
            </w:r>
          </w:p>
        </w:tc>
        <w:tc>
          <w:tcPr>
            <w:tcW w:w="7200" w:type="dxa"/>
            <w:shd w:val="clear" w:color="auto" w:fill="auto"/>
            <w:vAlign w:val="center"/>
          </w:tcPr>
          <w:p w14:paraId="2E4A0D44" w14:textId="77777777" w:rsidR="00C227FE" w:rsidRPr="00543EB0" w:rsidRDefault="00C227FE" w:rsidP="00736FDE">
            <w:pPr>
              <w:snapToGrid w:val="0"/>
              <w:spacing w:after="0"/>
              <w:rPr>
                <w:rFonts w:eastAsia="Malgun Gothic"/>
                <w:sz w:val="18"/>
                <w:lang w:val="en-GB" w:eastAsia="ko-KR"/>
              </w:rPr>
            </w:pPr>
            <w:r>
              <w:rPr>
                <w:rFonts w:ascii="Times New Roman" w:eastAsia="Malgun Gothic" w:hAnsi="Times New Roman"/>
                <w:color w:val="000000"/>
                <w:kern w:val="24"/>
                <w:sz w:val="18"/>
                <w:szCs w:val="20"/>
                <w:lang w:val="en-GB" w:eastAsia="ko-KR"/>
              </w:rPr>
              <w:t>Ideal</w:t>
            </w:r>
          </w:p>
        </w:tc>
      </w:tr>
      <w:tr w:rsidR="00C227FE" w:rsidRPr="005D045E" w14:paraId="151523BA" w14:textId="77777777" w:rsidTr="0D9B68EA">
        <w:tc>
          <w:tcPr>
            <w:tcW w:w="2605" w:type="dxa"/>
          </w:tcPr>
          <w:p w14:paraId="3EF8CA82"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Other simulation assumptions</w:t>
            </w:r>
          </w:p>
        </w:tc>
        <w:tc>
          <w:tcPr>
            <w:tcW w:w="7200" w:type="dxa"/>
          </w:tcPr>
          <w:p w14:paraId="697DA30F" w14:textId="756DAB03" w:rsidR="00C227FE" w:rsidRPr="00543EB0" w:rsidRDefault="00B05AA1" w:rsidP="00736FDE">
            <w:pPr>
              <w:snapToGrid w:val="0"/>
              <w:spacing w:after="0"/>
              <w:rPr>
                <w:rFonts w:ascii="Times New Roman" w:eastAsia="Malgun Gothic" w:hAnsi="Times New Roman"/>
                <w:sz w:val="18"/>
                <w:szCs w:val="20"/>
                <w:lang w:val="en-GB" w:eastAsia="ko-KR"/>
              </w:rPr>
            </w:pPr>
            <w:r w:rsidRPr="00543EB0">
              <w:rPr>
                <w:rFonts w:eastAsia="Malgun Gothic"/>
                <w:sz w:val="18"/>
                <w:lang w:val="en-GB" w:eastAsia="ko-KR"/>
              </w:rPr>
              <w:t>Round robin scheduling</w:t>
            </w:r>
            <w:r w:rsidR="00C227FE" w:rsidRPr="00543EB0">
              <w:rPr>
                <w:rFonts w:eastAsia="Malgun Gothic"/>
                <w:sz w:val="18"/>
                <w:lang w:val="en-GB" w:eastAsia="ko-KR"/>
              </w:rPr>
              <w:t xml:space="preserve"> in </w:t>
            </w:r>
            <w:r w:rsidR="005610AF" w:rsidRPr="00543EB0">
              <w:rPr>
                <w:rFonts w:eastAsia="Malgun Gothic"/>
                <w:sz w:val="18"/>
                <w:lang w:val="en-GB" w:eastAsia="ko-KR"/>
              </w:rPr>
              <w:t>t</w:t>
            </w:r>
            <w:r w:rsidR="00C227FE" w:rsidRPr="00543EB0">
              <w:rPr>
                <w:rFonts w:eastAsia="Malgun Gothic"/>
                <w:sz w:val="18"/>
                <w:lang w:val="en-GB" w:eastAsia="ko-KR"/>
              </w:rPr>
              <w:t xml:space="preserve">ime and </w:t>
            </w:r>
            <w:r w:rsidRPr="00543EB0">
              <w:rPr>
                <w:rFonts w:eastAsia="Malgun Gothic"/>
                <w:sz w:val="18"/>
                <w:lang w:val="en-GB" w:eastAsia="ko-KR"/>
              </w:rPr>
              <w:t xml:space="preserve">even resources for </w:t>
            </w:r>
            <w:r w:rsidR="00C227FE" w:rsidRPr="00543EB0">
              <w:rPr>
                <w:rFonts w:eastAsia="Malgun Gothic"/>
                <w:sz w:val="18"/>
                <w:lang w:val="en-GB" w:eastAsia="ko-KR"/>
              </w:rPr>
              <w:t xml:space="preserve">frequency scheduling with TTI size of one subframe. </w:t>
            </w:r>
            <w:r w:rsidR="005D7C20" w:rsidRPr="00543EB0">
              <w:rPr>
                <w:rFonts w:eastAsia="Malgun Gothic"/>
                <w:sz w:val="18"/>
                <w:lang w:val="en-GB" w:eastAsia="ko-KR"/>
              </w:rPr>
              <w:t xml:space="preserve">20 </w:t>
            </w:r>
            <w:r w:rsidR="00C227FE" w:rsidRPr="00543EB0">
              <w:rPr>
                <w:rFonts w:eastAsia="Malgun Gothic"/>
                <w:sz w:val="18"/>
                <w:lang w:val="en-GB" w:eastAsia="ko-KR"/>
              </w:rPr>
              <w:t>user</w:t>
            </w:r>
            <w:r w:rsidR="005D7C20" w:rsidRPr="00543EB0">
              <w:rPr>
                <w:rFonts w:eastAsia="Malgun Gothic"/>
                <w:sz w:val="18"/>
                <w:lang w:val="en-GB" w:eastAsia="ko-KR"/>
              </w:rPr>
              <w:t>s</w:t>
            </w:r>
            <w:r w:rsidR="00C227FE" w:rsidRPr="00543EB0">
              <w:rPr>
                <w:rFonts w:eastAsia="Malgun Gothic"/>
                <w:sz w:val="18"/>
                <w:lang w:val="en-GB" w:eastAsia="ko-KR"/>
              </w:rPr>
              <w:t xml:space="preserve"> </w:t>
            </w:r>
            <w:r w:rsidR="005D7C20" w:rsidRPr="00543EB0">
              <w:rPr>
                <w:rFonts w:eastAsia="Malgun Gothic"/>
                <w:sz w:val="18"/>
                <w:lang w:val="en-GB" w:eastAsia="ko-KR"/>
              </w:rPr>
              <w:t>can</w:t>
            </w:r>
            <w:r w:rsidR="00C227FE" w:rsidRPr="00543EB0">
              <w:rPr>
                <w:rFonts w:eastAsia="Malgun Gothic"/>
                <w:sz w:val="18"/>
                <w:lang w:val="en-GB" w:eastAsia="ko-KR"/>
              </w:rPr>
              <w:t xml:space="preserve"> scheduled each TTI.</w:t>
            </w:r>
          </w:p>
          <w:p w14:paraId="13E55B61"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RLM Qout averaging window: 400 ms</w:t>
            </w:r>
          </w:p>
          <w:p w14:paraId="60EF656A"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RLM Qin averaging window: 200 ms</w:t>
            </w:r>
          </w:p>
          <w:p w14:paraId="5B1270CB"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RLQ Out (for beam failure detection) averaging window: 200 ms</w:t>
            </w:r>
          </w:p>
          <w:p w14:paraId="659ECC3E" w14:textId="3AC3785E"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Bandwidth efficiency: 90%</w:t>
            </w:r>
          </w:p>
          <w:p w14:paraId="6D7DFB0D" w14:textId="39C9199B" w:rsidR="003362C5" w:rsidRPr="00543EB0" w:rsidRDefault="003362C5"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Default is no DRX</w:t>
            </w:r>
          </w:p>
        </w:tc>
      </w:tr>
      <w:tr w:rsidR="00C227FE" w:rsidRPr="005D045E" w14:paraId="0A310F4F" w14:textId="77777777" w:rsidTr="0D9B68EA">
        <w:tc>
          <w:tcPr>
            <w:tcW w:w="2605" w:type="dxa"/>
          </w:tcPr>
          <w:p w14:paraId="67084FBD"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Intra-cell beam management</w:t>
            </w:r>
          </w:p>
        </w:tc>
        <w:tc>
          <w:tcPr>
            <w:tcW w:w="7200" w:type="dxa"/>
          </w:tcPr>
          <w:p w14:paraId="44E7F634" w14:textId="77777777" w:rsidR="00C227FE" w:rsidRPr="00543EB0" w:rsidRDefault="00C227FE" w:rsidP="00736FDE">
            <w:pPr>
              <w:snapToGrid w:val="0"/>
              <w:spacing w:after="0"/>
              <w:rPr>
                <w:rFonts w:ascii="Times New Roman" w:hAnsi="Times New Roman"/>
                <w:sz w:val="18"/>
                <w:szCs w:val="20"/>
                <w:lang w:val="en-GB"/>
              </w:rPr>
            </w:pPr>
            <w:r w:rsidRPr="00207647">
              <w:rPr>
                <w:sz w:val="18"/>
              </w:rPr>
              <w:t xml:space="preserve">Beam metric: L1-RSRP </w:t>
            </w:r>
          </w:p>
          <w:p w14:paraId="11DCFBFD" w14:textId="664DCAA9" w:rsidR="00C227FE" w:rsidRPr="00543EB0" w:rsidRDefault="00C227FE" w:rsidP="00736FDE">
            <w:pPr>
              <w:snapToGrid w:val="0"/>
              <w:spacing w:after="0"/>
              <w:rPr>
                <w:rFonts w:ascii="Times New Roman" w:hAnsi="Times New Roman"/>
                <w:sz w:val="18"/>
                <w:szCs w:val="20"/>
                <w:lang w:val="en-GB"/>
              </w:rPr>
            </w:pPr>
            <w:r w:rsidRPr="00207647">
              <w:rPr>
                <w:sz w:val="18"/>
              </w:rPr>
              <w:t xml:space="preserve">Ideal measurement reporting and evaluation every </w:t>
            </w:r>
            <w:r w:rsidR="005D7C20" w:rsidRPr="00207647">
              <w:rPr>
                <w:sz w:val="18"/>
              </w:rPr>
              <w:t>4</w:t>
            </w:r>
            <w:r w:rsidRPr="00207647">
              <w:rPr>
                <w:sz w:val="18"/>
              </w:rPr>
              <w:t>0 ms.</w:t>
            </w:r>
          </w:p>
          <w:p w14:paraId="65BBDD3E" w14:textId="402DBD81" w:rsidR="00C227FE" w:rsidRPr="00543EB0" w:rsidRDefault="00C227FE" w:rsidP="00736FDE">
            <w:pPr>
              <w:snapToGrid w:val="0"/>
              <w:spacing w:after="0"/>
              <w:rPr>
                <w:rFonts w:ascii="Times New Roman" w:hAnsi="Times New Roman"/>
                <w:sz w:val="18"/>
                <w:szCs w:val="20"/>
                <w:lang w:val="en-GB"/>
              </w:rPr>
            </w:pPr>
            <w:r w:rsidRPr="00207647">
              <w:rPr>
                <w:sz w:val="18"/>
              </w:rPr>
              <w:t xml:space="preserve">L1-RSRP averaging </w:t>
            </w:r>
            <w:r w:rsidR="005D7C20" w:rsidRPr="00207647">
              <w:rPr>
                <w:sz w:val="18"/>
              </w:rPr>
              <w:t>12</w:t>
            </w:r>
            <w:r w:rsidRPr="00207647">
              <w:rPr>
                <w:sz w:val="18"/>
              </w:rPr>
              <w:t xml:space="preserve">0ms (3 samples) </w:t>
            </w:r>
          </w:p>
          <w:p w14:paraId="73238689" w14:textId="77777777" w:rsidR="00C227FE" w:rsidRPr="00543EB0" w:rsidRDefault="00C227FE" w:rsidP="00736FDE">
            <w:pPr>
              <w:snapToGrid w:val="0"/>
              <w:spacing w:after="0"/>
              <w:rPr>
                <w:rFonts w:ascii="Times New Roman" w:hAnsi="Times New Roman"/>
                <w:sz w:val="18"/>
                <w:szCs w:val="20"/>
                <w:lang w:val="en-GB"/>
              </w:rPr>
            </w:pPr>
            <w:r w:rsidRPr="00207647">
              <w:rPr>
                <w:sz w:val="18"/>
              </w:rPr>
              <w:t>Beam switching decision: L1-RSRP(best serving cell beam)&gt; L1-RSRP(current serving cell beam) + Offset</w:t>
            </w:r>
          </w:p>
          <w:p w14:paraId="34ED2F01" w14:textId="08B49554" w:rsidR="00C227FE" w:rsidRPr="00543EB0" w:rsidRDefault="00C227FE" w:rsidP="00736FDE">
            <w:pPr>
              <w:snapToGrid w:val="0"/>
              <w:spacing w:after="0"/>
              <w:rPr>
                <w:rFonts w:ascii="Times New Roman" w:hAnsi="Times New Roman"/>
                <w:sz w:val="18"/>
                <w:szCs w:val="20"/>
                <w:lang w:val="en-GB"/>
              </w:rPr>
            </w:pPr>
            <w:r w:rsidRPr="00207647">
              <w:rPr>
                <w:sz w:val="18"/>
              </w:rPr>
              <w:t xml:space="preserve">Offset: </w:t>
            </w:r>
            <w:r w:rsidR="005D7C20" w:rsidRPr="00207647">
              <w:rPr>
                <w:sz w:val="18"/>
              </w:rPr>
              <w:t xml:space="preserve">3 </w:t>
            </w:r>
            <w:r w:rsidRPr="00207647">
              <w:rPr>
                <w:sz w:val="18"/>
              </w:rPr>
              <w:t>dB</w:t>
            </w:r>
          </w:p>
        </w:tc>
      </w:tr>
      <w:tr w:rsidR="00C227FE" w:rsidRPr="00FB12D6" w14:paraId="53E6DD85" w14:textId="77777777" w:rsidTr="0D9B68EA">
        <w:tc>
          <w:tcPr>
            <w:tcW w:w="2605" w:type="dxa"/>
          </w:tcPr>
          <w:p w14:paraId="17250A4A"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Inter-cell handover procedure</w:t>
            </w:r>
          </w:p>
        </w:tc>
        <w:tc>
          <w:tcPr>
            <w:tcW w:w="7200" w:type="dxa"/>
          </w:tcPr>
          <w:p w14:paraId="03088264" w14:textId="3048EBAE" w:rsidR="00C227FE" w:rsidRPr="00543EB0" w:rsidRDefault="00C227FE" w:rsidP="00736FDE">
            <w:pPr>
              <w:snapToGrid w:val="0"/>
              <w:spacing w:after="0"/>
              <w:rPr>
                <w:rFonts w:ascii="Times New Roman" w:hAnsi="Times New Roman"/>
                <w:sz w:val="18"/>
                <w:szCs w:val="20"/>
                <w:u w:val="single"/>
                <w:lang w:val="en-GB"/>
              </w:rPr>
            </w:pPr>
            <w:r w:rsidRPr="00207647">
              <w:rPr>
                <w:sz w:val="18"/>
                <w:u w:val="single"/>
              </w:rPr>
              <w:t xml:space="preserve">L3 (RRC) Mobility </w:t>
            </w:r>
            <w:r w:rsidR="006319C8" w:rsidRPr="00207647">
              <w:rPr>
                <w:sz w:val="18"/>
                <w:u w:val="single"/>
              </w:rPr>
              <w:t>for Baseline Handover</w:t>
            </w:r>
          </w:p>
          <w:p w14:paraId="787EF112" w14:textId="77777777" w:rsidR="00C227FE" w:rsidRPr="00543EB0" w:rsidRDefault="00C227FE" w:rsidP="00736FDE">
            <w:pPr>
              <w:snapToGrid w:val="0"/>
              <w:spacing w:after="0"/>
              <w:rPr>
                <w:rFonts w:ascii="Times New Roman" w:hAnsi="Times New Roman"/>
                <w:sz w:val="18"/>
                <w:szCs w:val="20"/>
                <w:lang w:val="en-GB"/>
              </w:rPr>
            </w:pPr>
            <w:r w:rsidRPr="00207647">
              <w:rPr>
                <w:sz w:val="18"/>
              </w:rPr>
              <w:t>The figure below illustrates L3 mobility procedure in the simulation. When A3 event condition is satisfied during TTT, UE sends L3 measurement report and the serving cell prepares HO command and sends it to the UE. Once UE receives the HO command, it detaches from the serving cell (interruption time starts) and if RACH is successful (i.e. HO complete is received from the target cell), UE switches to a new serving cell and starts receiving data (interruption time ends).</w:t>
            </w:r>
          </w:p>
          <w:p w14:paraId="38F328F7" w14:textId="77777777" w:rsidR="00C227FE" w:rsidRPr="00543EB0" w:rsidRDefault="00C227FE" w:rsidP="00736FDE">
            <w:pPr>
              <w:snapToGrid w:val="0"/>
              <w:spacing w:after="0"/>
              <w:rPr>
                <w:rFonts w:ascii="Times New Roman" w:hAnsi="Times New Roman"/>
                <w:sz w:val="18"/>
                <w:szCs w:val="20"/>
                <w:lang w:val="en-GB"/>
              </w:rPr>
            </w:pPr>
            <w:r w:rsidRPr="00207647">
              <w:rPr>
                <w:sz w:val="18"/>
              </w:rPr>
              <w:t>Handover interruption time (no data transfer): 80 ms</w:t>
            </w:r>
          </w:p>
          <w:p w14:paraId="63776C03" w14:textId="77777777" w:rsidR="00C227FE" w:rsidRPr="00543EB0" w:rsidRDefault="00C227FE" w:rsidP="00736FDE">
            <w:pPr>
              <w:snapToGrid w:val="0"/>
              <w:spacing w:after="0"/>
              <w:rPr>
                <w:rFonts w:ascii="Times New Roman" w:hAnsi="Times New Roman"/>
                <w:sz w:val="18"/>
                <w:szCs w:val="20"/>
                <w:lang w:val="en-GB"/>
              </w:rPr>
            </w:pPr>
            <w:r w:rsidRPr="00207647">
              <w:rPr>
                <w:sz w:val="18"/>
              </w:rPr>
              <w:t>Handover metric: L3 cell quality measurement (IIR filtered L1-RSRP)</w:t>
            </w:r>
          </w:p>
          <w:p w14:paraId="77779896" w14:textId="77777777" w:rsidR="00C227FE" w:rsidRPr="00543EB0" w:rsidRDefault="00C227FE" w:rsidP="00736FDE">
            <w:pPr>
              <w:snapToGrid w:val="0"/>
              <w:spacing w:after="0"/>
              <w:rPr>
                <w:rFonts w:ascii="Times New Roman" w:hAnsi="Times New Roman"/>
                <w:sz w:val="18"/>
                <w:szCs w:val="20"/>
                <w:lang w:val="en-GB"/>
              </w:rPr>
            </w:pPr>
            <w:r w:rsidRPr="00207647">
              <w:rPr>
                <w:sz w:val="18"/>
              </w:rPr>
              <w:t>A3 event offset i.e. HO margin: 3 dB</w:t>
            </w:r>
          </w:p>
          <w:p w14:paraId="4225A91B" w14:textId="77777777" w:rsidR="00C227FE" w:rsidRPr="00543EB0" w:rsidRDefault="00C227FE" w:rsidP="00736FDE">
            <w:pPr>
              <w:snapToGrid w:val="0"/>
              <w:spacing w:after="0"/>
              <w:rPr>
                <w:rFonts w:ascii="Times New Roman" w:hAnsi="Times New Roman"/>
                <w:sz w:val="18"/>
                <w:szCs w:val="20"/>
                <w:lang w:val="en-GB"/>
              </w:rPr>
            </w:pPr>
            <w:r w:rsidRPr="00207647">
              <w:rPr>
                <w:sz w:val="18"/>
              </w:rPr>
              <w:t>Time-to-trigger (TTT): 160 ms</w:t>
            </w:r>
          </w:p>
          <w:p w14:paraId="39D538F7" w14:textId="0749D557" w:rsidR="00C227FE" w:rsidRPr="00543EB0" w:rsidRDefault="00C227FE" w:rsidP="00736FDE">
            <w:pPr>
              <w:snapToGrid w:val="0"/>
              <w:spacing w:after="0"/>
              <w:rPr>
                <w:rFonts w:ascii="Times New Roman" w:hAnsi="Times New Roman"/>
                <w:sz w:val="18"/>
                <w:szCs w:val="20"/>
                <w:lang w:val="en-GB"/>
              </w:rPr>
            </w:pPr>
            <w:r w:rsidRPr="00207647">
              <w:rPr>
                <w:sz w:val="18"/>
              </w:rPr>
              <w:t>Handover (HO) preparation delay: 40ms</w:t>
            </w:r>
          </w:p>
          <w:p w14:paraId="7D591903" w14:textId="77777777" w:rsidR="00C227FE" w:rsidRPr="00543EB0" w:rsidRDefault="00C227FE" w:rsidP="00736FDE">
            <w:pPr>
              <w:snapToGrid w:val="0"/>
              <w:spacing w:after="0"/>
              <w:rPr>
                <w:rFonts w:ascii="Times New Roman" w:hAnsi="Times New Roman"/>
                <w:sz w:val="18"/>
                <w:szCs w:val="20"/>
                <w:lang w:val="en-GB"/>
              </w:rPr>
            </w:pPr>
          </w:p>
          <w:p w14:paraId="5E2170FD" w14:textId="77777777" w:rsidR="00C227FE" w:rsidRPr="00543EB0" w:rsidRDefault="00C227FE" w:rsidP="00736FDE">
            <w:pPr>
              <w:snapToGrid w:val="0"/>
              <w:spacing w:after="0"/>
              <w:rPr>
                <w:rFonts w:ascii="Times New Roman" w:hAnsi="Times New Roman"/>
                <w:sz w:val="18"/>
                <w:szCs w:val="20"/>
                <w:lang w:val="en-GB"/>
              </w:rPr>
            </w:pPr>
            <w:r w:rsidRPr="00543EB0">
              <w:rPr>
                <w:noProof/>
              </w:rPr>
              <w:lastRenderedPageBreak/>
              <w:drawing>
                <wp:inline distT="0" distB="0" distL="0" distR="0" wp14:anchorId="7B9C6A82" wp14:editId="3AAEFD0E">
                  <wp:extent cx="3082480" cy="1197084"/>
                  <wp:effectExtent l="0" t="0" r="3810" b="3175"/>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2">
                            <a:extLst>
                              <a:ext uri="{28A0092B-C50C-407E-A947-70E740481C1C}">
                                <a14:useLocalDpi xmlns:a14="http://schemas.microsoft.com/office/drawing/2010/main" val="0"/>
                              </a:ext>
                            </a:extLst>
                          </a:blip>
                          <a:stretch>
                            <a:fillRect/>
                          </a:stretch>
                        </pic:blipFill>
                        <pic:spPr>
                          <a:xfrm>
                            <a:off x="0" y="0"/>
                            <a:ext cx="3082480" cy="1197084"/>
                          </a:xfrm>
                          <a:prstGeom prst="rect">
                            <a:avLst/>
                          </a:prstGeom>
                        </pic:spPr>
                      </pic:pic>
                    </a:graphicData>
                  </a:graphic>
                </wp:inline>
              </w:drawing>
            </w:r>
          </w:p>
          <w:p w14:paraId="43F87F23" w14:textId="77777777" w:rsidR="00C227FE" w:rsidRPr="00543EB0" w:rsidRDefault="00C227FE" w:rsidP="00736FDE">
            <w:pPr>
              <w:snapToGrid w:val="0"/>
              <w:spacing w:after="0"/>
              <w:rPr>
                <w:rFonts w:ascii="Times New Roman" w:hAnsi="Times New Roman"/>
                <w:sz w:val="18"/>
                <w:szCs w:val="20"/>
                <w:lang w:val="en-GB"/>
              </w:rPr>
            </w:pPr>
          </w:p>
          <w:p w14:paraId="510F7831" w14:textId="39524EA2" w:rsidR="006319C8" w:rsidRPr="00543EB0" w:rsidRDefault="006319C8" w:rsidP="00736FDE">
            <w:pPr>
              <w:snapToGrid w:val="0"/>
              <w:spacing w:after="0"/>
              <w:rPr>
                <w:rFonts w:ascii="Times New Roman" w:hAnsi="Times New Roman"/>
                <w:sz w:val="18"/>
                <w:szCs w:val="20"/>
                <w:u w:val="single"/>
                <w:lang w:val="en-GB"/>
              </w:rPr>
            </w:pPr>
            <w:r w:rsidRPr="00207647">
              <w:rPr>
                <w:sz w:val="18"/>
                <w:u w:val="single"/>
              </w:rPr>
              <w:t>Conditional Handover</w:t>
            </w:r>
          </w:p>
          <w:p w14:paraId="4896C4FC" w14:textId="4F8BEF4C" w:rsidR="00CF0678" w:rsidRPr="00543EB0" w:rsidRDefault="00CF0678" w:rsidP="00CF0678">
            <w:pPr>
              <w:snapToGrid w:val="0"/>
              <w:spacing w:after="0"/>
              <w:rPr>
                <w:rFonts w:ascii="Times New Roman" w:hAnsi="Times New Roman"/>
                <w:sz w:val="18"/>
                <w:szCs w:val="18"/>
                <w:lang w:val="en-GB"/>
              </w:rPr>
            </w:pPr>
            <w:r w:rsidRPr="008C3091">
              <w:rPr>
                <w:sz w:val="18"/>
                <w:szCs w:val="18"/>
              </w:rPr>
              <w:t xml:space="preserve">When A3 event condition for CHO preparation is satisfied during TTT, UE sends L3 measurement report and the serving </w:t>
            </w:r>
            <w:r>
              <w:rPr>
                <w:sz w:val="18"/>
                <w:szCs w:val="18"/>
              </w:rPr>
              <w:t>cell</w:t>
            </w:r>
            <w:r w:rsidRPr="008C3091">
              <w:rPr>
                <w:sz w:val="18"/>
                <w:szCs w:val="18"/>
              </w:rPr>
              <w:t xml:space="preserve"> to prepare CHO command</w:t>
            </w:r>
            <w:r>
              <w:rPr>
                <w:sz w:val="18"/>
                <w:szCs w:val="18"/>
              </w:rPr>
              <w:t xml:space="preserve">. </w:t>
            </w:r>
            <w:r w:rsidRPr="008C3091">
              <w:rPr>
                <w:sz w:val="18"/>
                <w:szCs w:val="18"/>
              </w:rPr>
              <w:t>Once UE receives the CHO command, it evaluates the CHO execution condition only for the prepared cells. If the condition is satisfied, UE detaches from the serving cell (interruption time starts) and if RACH is successful (i.e. HO complete is received from the target cell), UE switches to a new serving cell and starts receiving data (interruption time ends).</w:t>
            </w:r>
          </w:p>
          <w:p w14:paraId="5B0FC16D" w14:textId="77777777" w:rsidR="00CF0678" w:rsidRPr="00543EB0" w:rsidRDefault="00CF0678" w:rsidP="00CF0678">
            <w:pPr>
              <w:snapToGrid w:val="0"/>
              <w:spacing w:after="0"/>
              <w:rPr>
                <w:rFonts w:ascii="Times New Roman" w:hAnsi="Times New Roman"/>
                <w:sz w:val="18"/>
                <w:szCs w:val="18"/>
                <w:lang w:val="en-GB"/>
              </w:rPr>
            </w:pPr>
            <w:r w:rsidRPr="008C3091">
              <w:rPr>
                <w:sz w:val="18"/>
                <w:szCs w:val="18"/>
              </w:rPr>
              <w:t>Handover interruption time (no data transfer): 80 ms</w:t>
            </w:r>
          </w:p>
          <w:p w14:paraId="067C5030" w14:textId="77777777" w:rsidR="00CF0678" w:rsidRPr="00543EB0" w:rsidRDefault="00CF0678" w:rsidP="00CF0678">
            <w:pPr>
              <w:snapToGrid w:val="0"/>
              <w:spacing w:after="0"/>
              <w:rPr>
                <w:rFonts w:ascii="Times New Roman" w:hAnsi="Times New Roman"/>
                <w:sz w:val="18"/>
                <w:szCs w:val="18"/>
                <w:lang w:val="en-GB"/>
              </w:rPr>
            </w:pPr>
            <w:r w:rsidRPr="008C3091">
              <w:rPr>
                <w:sz w:val="18"/>
                <w:szCs w:val="18"/>
              </w:rPr>
              <w:t>Handover metric: L3 cell quality measurement (IIR filtered L1-RSRP)</w:t>
            </w:r>
          </w:p>
          <w:p w14:paraId="6A1CEFE4" w14:textId="77777777" w:rsidR="00CF0678" w:rsidRPr="00543EB0" w:rsidRDefault="00CF0678" w:rsidP="00CF0678">
            <w:pPr>
              <w:snapToGrid w:val="0"/>
              <w:spacing w:after="0"/>
              <w:rPr>
                <w:rFonts w:ascii="Times New Roman" w:hAnsi="Times New Roman"/>
                <w:sz w:val="18"/>
                <w:szCs w:val="18"/>
                <w:lang w:val="en-GB"/>
              </w:rPr>
            </w:pPr>
            <w:r w:rsidRPr="008C3091">
              <w:rPr>
                <w:sz w:val="18"/>
                <w:szCs w:val="18"/>
              </w:rPr>
              <w:t>A3 event for CHO preparation: -3dB</w:t>
            </w:r>
          </w:p>
          <w:p w14:paraId="732BEF57" w14:textId="77777777" w:rsidR="00CF0678" w:rsidRPr="00543EB0" w:rsidRDefault="00CF0678" w:rsidP="00CF0678">
            <w:pPr>
              <w:snapToGrid w:val="0"/>
              <w:spacing w:after="0"/>
              <w:rPr>
                <w:rFonts w:ascii="Times New Roman" w:hAnsi="Times New Roman"/>
                <w:sz w:val="18"/>
                <w:szCs w:val="18"/>
                <w:lang w:val="en-GB"/>
              </w:rPr>
            </w:pPr>
            <w:r w:rsidRPr="008C3091">
              <w:rPr>
                <w:sz w:val="18"/>
                <w:szCs w:val="18"/>
              </w:rPr>
              <w:t>A3 event offset i.e. HO margin: 3 dB</w:t>
            </w:r>
          </w:p>
          <w:p w14:paraId="7789E3EC" w14:textId="77777777" w:rsidR="00CF0678" w:rsidRPr="00543EB0" w:rsidRDefault="00CF0678" w:rsidP="00CF0678">
            <w:pPr>
              <w:snapToGrid w:val="0"/>
              <w:spacing w:after="0"/>
              <w:rPr>
                <w:rFonts w:ascii="Times New Roman" w:hAnsi="Times New Roman"/>
                <w:sz w:val="18"/>
                <w:szCs w:val="18"/>
                <w:lang w:val="en-GB"/>
              </w:rPr>
            </w:pPr>
            <w:r w:rsidRPr="008C3091">
              <w:rPr>
                <w:sz w:val="18"/>
                <w:szCs w:val="18"/>
              </w:rPr>
              <w:t>Time-to-trigger (TTT): 160 ms</w:t>
            </w:r>
          </w:p>
          <w:p w14:paraId="7FF9D6BB" w14:textId="77777777" w:rsidR="00CF0678" w:rsidRPr="00543EB0" w:rsidRDefault="00CF0678" w:rsidP="00CF0678">
            <w:pPr>
              <w:snapToGrid w:val="0"/>
              <w:spacing w:after="0"/>
              <w:rPr>
                <w:rFonts w:ascii="Times New Roman" w:hAnsi="Times New Roman"/>
                <w:sz w:val="18"/>
                <w:szCs w:val="18"/>
                <w:lang w:val="en-GB"/>
              </w:rPr>
            </w:pPr>
            <w:r w:rsidRPr="008C3091">
              <w:rPr>
                <w:sz w:val="18"/>
                <w:szCs w:val="18"/>
              </w:rPr>
              <w:t>Handover (HO) preparation delay: 40ms</w:t>
            </w:r>
          </w:p>
          <w:p w14:paraId="6F297209" w14:textId="77777777" w:rsidR="006319C8" w:rsidRPr="00543EB0" w:rsidRDefault="006319C8" w:rsidP="00736FDE">
            <w:pPr>
              <w:snapToGrid w:val="0"/>
              <w:spacing w:after="0"/>
              <w:rPr>
                <w:rFonts w:ascii="Times New Roman" w:hAnsi="Times New Roman"/>
                <w:sz w:val="18"/>
                <w:szCs w:val="20"/>
                <w:u w:val="single"/>
                <w:lang w:val="en-GB"/>
              </w:rPr>
            </w:pPr>
          </w:p>
          <w:p w14:paraId="2F324AC4" w14:textId="78863E43" w:rsidR="00C227FE" w:rsidRPr="00543EB0" w:rsidRDefault="00C227FE" w:rsidP="00736FDE">
            <w:pPr>
              <w:snapToGrid w:val="0"/>
              <w:spacing w:after="0"/>
              <w:rPr>
                <w:rFonts w:ascii="Times New Roman" w:hAnsi="Times New Roman"/>
                <w:sz w:val="18"/>
                <w:szCs w:val="20"/>
                <w:u w:val="single"/>
                <w:lang w:val="en-GB"/>
              </w:rPr>
            </w:pPr>
            <w:r w:rsidRPr="00207647">
              <w:rPr>
                <w:sz w:val="18"/>
                <w:u w:val="single"/>
              </w:rPr>
              <w:t>L1/</w:t>
            </w:r>
            <w:r w:rsidR="00AF6935" w:rsidRPr="00207647">
              <w:rPr>
                <w:sz w:val="18"/>
                <w:u w:val="single"/>
              </w:rPr>
              <w:t>L2</w:t>
            </w:r>
            <w:r w:rsidRPr="00207647">
              <w:rPr>
                <w:sz w:val="18"/>
                <w:u w:val="single"/>
              </w:rPr>
              <w:t xml:space="preserve"> centric Intercell Mobility</w:t>
            </w:r>
          </w:p>
          <w:p w14:paraId="376B0E01" w14:textId="3EB55131" w:rsidR="00C227FE" w:rsidRPr="00543EB0" w:rsidRDefault="00C227FE" w:rsidP="00736FDE">
            <w:pPr>
              <w:snapToGrid w:val="0"/>
              <w:spacing w:after="0"/>
              <w:rPr>
                <w:rFonts w:ascii="Times New Roman" w:hAnsi="Times New Roman"/>
                <w:sz w:val="18"/>
                <w:szCs w:val="20"/>
                <w:lang w:val="en-GB"/>
              </w:rPr>
            </w:pPr>
            <w:r w:rsidRPr="00207647">
              <w:rPr>
                <w:sz w:val="18"/>
              </w:rPr>
              <w:t xml:space="preserve">Intra-cell beam management procedure is extended to include the beams of non-serving cells. Ideal and periodical reporting with </w:t>
            </w:r>
            <w:r w:rsidR="005D7C20" w:rsidRPr="00207647">
              <w:rPr>
                <w:sz w:val="18"/>
              </w:rPr>
              <w:t>4</w:t>
            </w:r>
            <w:r w:rsidRPr="00207647">
              <w:rPr>
                <w:sz w:val="18"/>
              </w:rPr>
              <w:t>0 ms periodicity.</w:t>
            </w:r>
          </w:p>
          <w:p w14:paraId="2897D789" w14:textId="01642245" w:rsidR="00C227FE" w:rsidRPr="00543EB0" w:rsidRDefault="00C227FE" w:rsidP="00736FDE">
            <w:pPr>
              <w:snapToGrid w:val="0"/>
              <w:spacing w:after="0"/>
              <w:rPr>
                <w:rFonts w:ascii="Times New Roman" w:hAnsi="Times New Roman"/>
                <w:sz w:val="18"/>
                <w:szCs w:val="20"/>
                <w:lang w:val="en-GB"/>
              </w:rPr>
            </w:pPr>
            <w:r w:rsidRPr="00207647">
              <w:rPr>
                <w:sz w:val="18"/>
              </w:rPr>
              <w:t xml:space="preserve">The strongest beams of the serving and </w:t>
            </w:r>
            <w:r w:rsidR="005D7C20" w:rsidRPr="00207647">
              <w:rPr>
                <w:sz w:val="18"/>
              </w:rPr>
              <w:t xml:space="preserve">prepared </w:t>
            </w:r>
            <w:r w:rsidRPr="00207647">
              <w:rPr>
                <w:sz w:val="18"/>
              </w:rPr>
              <w:t>non-serving cell</w:t>
            </w:r>
            <w:r w:rsidR="005D7C20" w:rsidRPr="00207647">
              <w:rPr>
                <w:sz w:val="18"/>
              </w:rPr>
              <w:t>s</w:t>
            </w:r>
            <w:r w:rsidRPr="00207647">
              <w:rPr>
                <w:sz w:val="18"/>
              </w:rPr>
              <w:t xml:space="preserve"> are reported periodically.</w:t>
            </w:r>
          </w:p>
          <w:p w14:paraId="64346D79" w14:textId="77777777" w:rsidR="00C227FE" w:rsidRPr="00543EB0" w:rsidRDefault="00C227FE" w:rsidP="00736FDE">
            <w:pPr>
              <w:snapToGrid w:val="0"/>
              <w:spacing w:after="0"/>
              <w:rPr>
                <w:rFonts w:ascii="Times New Roman" w:hAnsi="Times New Roman"/>
                <w:sz w:val="18"/>
                <w:szCs w:val="20"/>
                <w:lang w:val="en-GB"/>
              </w:rPr>
            </w:pPr>
            <w:r w:rsidRPr="00207647">
              <w:rPr>
                <w:sz w:val="18"/>
              </w:rPr>
              <w:t>Handover decision is based on (filtered) L1-RSRP beam measurements i.e. L1-RSRP (best non-serving cell beam) &gt; L1-RSRP (best serving cell beam) + Offset</w:t>
            </w:r>
          </w:p>
          <w:p w14:paraId="4A589878" w14:textId="77777777" w:rsidR="00C227FE" w:rsidRPr="00543EB0" w:rsidRDefault="00C227FE" w:rsidP="00736FDE">
            <w:pPr>
              <w:snapToGrid w:val="0"/>
              <w:spacing w:after="0"/>
              <w:rPr>
                <w:rFonts w:ascii="Times New Roman" w:hAnsi="Times New Roman"/>
                <w:sz w:val="18"/>
                <w:szCs w:val="20"/>
                <w:lang w:val="en-GB"/>
              </w:rPr>
            </w:pPr>
            <w:r w:rsidRPr="00207647">
              <w:rPr>
                <w:sz w:val="18"/>
              </w:rPr>
              <w:t xml:space="preserve">Offset i.e. HO margin: 3 dB </w:t>
            </w:r>
          </w:p>
          <w:p w14:paraId="36EA41B0" w14:textId="3122BEFB" w:rsidR="00C227FE" w:rsidRPr="00543EB0" w:rsidRDefault="00C227FE" w:rsidP="00736FDE">
            <w:pPr>
              <w:snapToGrid w:val="0"/>
              <w:spacing w:after="0"/>
              <w:rPr>
                <w:rFonts w:ascii="Times New Roman" w:hAnsi="Times New Roman"/>
                <w:sz w:val="18"/>
                <w:szCs w:val="20"/>
                <w:lang w:val="en-GB"/>
              </w:rPr>
            </w:pPr>
            <w:r w:rsidRPr="00207647">
              <w:rPr>
                <w:sz w:val="18"/>
              </w:rPr>
              <w:t xml:space="preserve">Handover interruption time (no data transfer): 1 ms </w:t>
            </w:r>
          </w:p>
        </w:tc>
      </w:tr>
      <w:tr w:rsidR="00C227FE" w:rsidRPr="005D045E" w14:paraId="545417BC" w14:textId="77777777" w:rsidTr="0D9B68EA">
        <w:tc>
          <w:tcPr>
            <w:tcW w:w="2605" w:type="dxa"/>
          </w:tcPr>
          <w:p w14:paraId="5ACD1653"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lastRenderedPageBreak/>
              <w:t>Other potential impairments</w:t>
            </w:r>
          </w:p>
        </w:tc>
        <w:tc>
          <w:tcPr>
            <w:tcW w:w="7200" w:type="dxa"/>
          </w:tcPr>
          <w:p w14:paraId="08DE5449"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Not modelled (assumed ideal)</w:t>
            </w:r>
          </w:p>
        </w:tc>
      </w:tr>
      <w:tr w:rsidR="00C227FE" w:rsidRPr="005D045E" w14:paraId="5A8E3F94" w14:textId="77777777" w:rsidTr="0D9B68EA">
        <w:tc>
          <w:tcPr>
            <w:tcW w:w="2605" w:type="dxa"/>
          </w:tcPr>
          <w:p w14:paraId="391F6F5F"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Scenario</w:t>
            </w:r>
          </w:p>
        </w:tc>
        <w:tc>
          <w:tcPr>
            <w:tcW w:w="7200" w:type="dxa"/>
          </w:tcPr>
          <w:p w14:paraId="060074D2" w14:textId="5FBC9FD6" w:rsidR="00C227FE" w:rsidRPr="00543EB0" w:rsidRDefault="005D7C20" w:rsidP="00736FDE">
            <w:pPr>
              <w:snapToGrid w:val="0"/>
              <w:spacing w:after="0"/>
              <w:rPr>
                <w:rFonts w:ascii="Times New Roman" w:eastAsia="Malgun Gothic" w:hAnsi="Times New Roman"/>
                <w:sz w:val="18"/>
                <w:szCs w:val="20"/>
                <w:lang w:val="en-GB" w:eastAsia="ko-KR"/>
              </w:rPr>
            </w:pPr>
            <w:r w:rsidRPr="00207647">
              <w:rPr>
                <w:sz w:val="18"/>
                <w:szCs w:val="18"/>
              </w:rPr>
              <w:t>3GPP compliant 3-sector Urban Macro cellular with 200 meters ISD.  3D UMa channel model TR 38.901</w:t>
            </w:r>
          </w:p>
        </w:tc>
      </w:tr>
      <w:tr w:rsidR="00C227FE" w:rsidRPr="005D045E" w14:paraId="6F6E3EA1" w14:textId="77777777" w:rsidTr="0D9B68EA">
        <w:tc>
          <w:tcPr>
            <w:tcW w:w="2605" w:type="dxa"/>
          </w:tcPr>
          <w:p w14:paraId="1E29FFD0"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Channel model</w:t>
            </w:r>
          </w:p>
        </w:tc>
        <w:tc>
          <w:tcPr>
            <w:tcW w:w="7200" w:type="dxa"/>
          </w:tcPr>
          <w:p w14:paraId="4C478961" w14:textId="77777777" w:rsidR="00C227FE" w:rsidRPr="00543EB0" w:rsidRDefault="00C227FE" w:rsidP="00736FDE">
            <w:pPr>
              <w:snapToGrid w:val="0"/>
              <w:spacing w:after="0"/>
              <w:rPr>
                <w:rFonts w:ascii="Times New Roman" w:hAnsi="Times New Roman"/>
                <w:sz w:val="18"/>
                <w:szCs w:val="18"/>
                <w:lang w:val="en-GB"/>
              </w:rPr>
            </w:pPr>
            <w:r w:rsidRPr="00207647">
              <w:rPr>
                <w:sz w:val="18"/>
                <w:szCs w:val="18"/>
              </w:rPr>
              <w:t>UMa 5G (TR 38.901)</w:t>
            </w:r>
          </w:p>
        </w:tc>
      </w:tr>
      <w:tr w:rsidR="00C227FE" w:rsidRPr="005D045E" w14:paraId="11E20802" w14:textId="77777777" w:rsidTr="0D9B68EA">
        <w:tc>
          <w:tcPr>
            <w:tcW w:w="2605" w:type="dxa"/>
          </w:tcPr>
          <w:p w14:paraId="73659202" w14:textId="77777777"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UE mobility and trajectory</w:t>
            </w:r>
          </w:p>
        </w:tc>
        <w:tc>
          <w:tcPr>
            <w:tcW w:w="7200" w:type="dxa"/>
          </w:tcPr>
          <w:p w14:paraId="1A9F49BE" w14:textId="384C4E8E" w:rsidR="00C227FE" w:rsidRPr="00543EB0" w:rsidRDefault="003448BF"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20 UEs per cell and UEs are moving in a random direction in straight lines with constant speed.</w:t>
            </w:r>
          </w:p>
          <w:p w14:paraId="6BDCD0F7" w14:textId="6BCDA9D6" w:rsidR="00C227FE" w:rsidRPr="00543EB0" w:rsidRDefault="43FFB959" w:rsidP="00736FDE">
            <w:pPr>
              <w:snapToGrid w:val="0"/>
              <w:spacing w:after="0"/>
              <w:rPr>
                <w:lang w:val="en-GB"/>
              </w:rPr>
            </w:pPr>
            <w:r w:rsidRPr="00543EB0">
              <w:rPr>
                <w:noProof/>
              </w:rPr>
              <w:drawing>
                <wp:inline distT="0" distB="0" distL="0" distR="0" wp14:anchorId="33B9D27B" wp14:editId="3F38F692">
                  <wp:extent cx="2702174" cy="2165350"/>
                  <wp:effectExtent l="0" t="0" r="3175" b="6350"/>
                  <wp:docPr id="5"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3">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id="{99306D50-D2B8-4B9B-8053-FC0293E4DF73}"/>
                              </a:ext>
                            </a:extLst>
                          </a:blip>
                          <a:srcRect l="23075" t="7024" r="21054" b="6680"/>
                          <a:stretch>
                            <a:fillRect/>
                          </a:stretch>
                        </pic:blipFill>
                        <pic:spPr>
                          <a:xfrm>
                            <a:off x="0" y="0"/>
                            <a:ext cx="2702174" cy="2165350"/>
                          </a:xfrm>
                          <a:prstGeom prst="rect">
                            <a:avLst/>
                          </a:prstGeom>
                        </pic:spPr>
                      </pic:pic>
                    </a:graphicData>
                  </a:graphic>
                </wp:inline>
              </w:drawing>
            </w:r>
          </w:p>
          <w:p w14:paraId="4F2D249A" w14:textId="0B468E40" w:rsidR="00C227FE" w:rsidRPr="00543EB0" w:rsidRDefault="00C227FE" w:rsidP="00736FDE">
            <w:pPr>
              <w:snapToGrid w:val="0"/>
              <w:spacing w:after="0"/>
              <w:rPr>
                <w:rFonts w:ascii="Times New Roman" w:eastAsia="Malgun Gothic" w:hAnsi="Times New Roman"/>
                <w:sz w:val="18"/>
                <w:szCs w:val="20"/>
                <w:lang w:val="en-GB" w:eastAsia="ko-KR"/>
              </w:rPr>
            </w:pPr>
            <w:r w:rsidRPr="00207647">
              <w:rPr>
                <w:sz w:val="18"/>
                <w:szCs w:val="18"/>
              </w:rPr>
              <w:t xml:space="preserve">UE velocity </w:t>
            </w:r>
            <w:r w:rsidR="000E138F" w:rsidRPr="00207647">
              <w:rPr>
                <w:sz w:val="18"/>
                <w:szCs w:val="18"/>
              </w:rPr>
              <w:t xml:space="preserve">of </w:t>
            </w:r>
            <w:r w:rsidR="003448BF" w:rsidRPr="00207647">
              <w:rPr>
                <w:sz w:val="18"/>
                <w:szCs w:val="18"/>
              </w:rPr>
              <w:t>6</w:t>
            </w:r>
            <w:r w:rsidRPr="00207647">
              <w:rPr>
                <w:rFonts w:eastAsia="Malgun Gothic"/>
                <w:sz w:val="18"/>
                <w:lang w:eastAsia="ko-KR"/>
              </w:rPr>
              <w:t xml:space="preserve">0 km/h </w:t>
            </w:r>
            <w:r w:rsidR="000E138F" w:rsidRPr="00207647">
              <w:rPr>
                <w:rFonts w:eastAsia="Malgun Gothic"/>
                <w:sz w:val="18"/>
                <w:lang w:eastAsia="ko-KR"/>
              </w:rPr>
              <w:t>is considered for simulations</w:t>
            </w:r>
            <w:r w:rsidRPr="00207647">
              <w:rPr>
                <w:rFonts w:eastAsia="Malgun Gothic"/>
                <w:sz w:val="18"/>
                <w:lang w:eastAsia="ko-KR"/>
              </w:rPr>
              <w:t>.</w:t>
            </w:r>
          </w:p>
        </w:tc>
      </w:tr>
      <w:tr w:rsidR="00C227FE" w:rsidRPr="005D045E" w14:paraId="0D7FD1B3" w14:textId="77777777" w:rsidTr="0D9B68EA">
        <w:tc>
          <w:tcPr>
            <w:tcW w:w="2605" w:type="dxa"/>
          </w:tcPr>
          <w:p w14:paraId="4455766C" w14:textId="245C528A" w:rsidR="00C227FE" w:rsidRPr="00543EB0" w:rsidRDefault="00C227FE"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Simulat</w:t>
            </w:r>
            <w:r w:rsidR="0045453A" w:rsidRPr="00207647">
              <w:rPr>
                <w:rFonts w:eastAsia="Malgun Gothic"/>
                <w:sz w:val="18"/>
                <w:lang w:eastAsia="ko-KR"/>
              </w:rPr>
              <w:t>ion</w:t>
            </w:r>
            <w:r w:rsidRPr="00207647">
              <w:rPr>
                <w:rFonts w:eastAsia="Malgun Gothic"/>
                <w:sz w:val="18"/>
                <w:lang w:eastAsia="ko-KR"/>
              </w:rPr>
              <w:t xml:space="preserve"> time </w:t>
            </w:r>
          </w:p>
        </w:tc>
        <w:tc>
          <w:tcPr>
            <w:tcW w:w="7200" w:type="dxa"/>
          </w:tcPr>
          <w:p w14:paraId="1DACE953" w14:textId="54182EA7" w:rsidR="00C227FE" w:rsidRPr="00543EB0" w:rsidRDefault="003448BF" w:rsidP="00736FDE">
            <w:pPr>
              <w:snapToGrid w:val="0"/>
              <w:spacing w:after="0"/>
              <w:rPr>
                <w:rFonts w:ascii="Times New Roman" w:eastAsia="Malgun Gothic" w:hAnsi="Times New Roman"/>
                <w:sz w:val="18"/>
                <w:szCs w:val="20"/>
                <w:lang w:val="en-GB" w:eastAsia="ko-KR"/>
              </w:rPr>
            </w:pPr>
            <w:r w:rsidRPr="00207647">
              <w:rPr>
                <w:rFonts w:eastAsia="Malgun Gothic"/>
                <w:sz w:val="18"/>
                <w:lang w:eastAsia="ko-KR"/>
              </w:rPr>
              <w:t>140000</w:t>
            </w:r>
            <w:r w:rsidR="00C227FE" w:rsidRPr="00207647">
              <w:rPr>
                <w:rFonts w:eastAsia="Malgun Gothic"/>
                <w:sz w:val="18"/>
                <w:lang w:eastAsia="ko-KR"/>
              </w:rPr>
              <w:t xml:space="preserve"> steps (</w:t>
            </w:r>
            <w:r w:rsidRPr="00207647">
              <w:rPr>
                <w:rFonts w:eastAsia="Malgun Gothic"/>
                <w:sz w:val="18"/>
                <w:lang w:eastAsia="ko-KR"/>
              </w:rPr>
              <w:t>14000</w:t>
            </w:r>
            <w:r w:rsidR="00C227FE" w:rsidRPr="00207647">
              <w:rPr>
                <w:rFonts w:eastAsia="Malgun Gothic"/>
                <w:sz w:val="18"/>
                <w:lang w:eastAsia="ko-KR"/>
              </w:rPr>
              <w:t xml:space="preserve"> steps per sec) with </w:t>
            </w:r>
            <w:r w:rsidRPr="00207647">
              <w:rPr>
                <w:rFonts w:eastAsia="Malgun Gothic"/>
                <w:sz w:val="18"/>
                <w:lang w:eastAsia="ko-KR"/>
              </w:rPr>
              <w:t>2</w:t>
            </w:r>
            <w:r w:rsidR="00C227FE" w:rsidRPr="00207647">
              <w:rPr>
                <w:rFonts w:eastAsia="Malgun Gothic"/>
                <w:sz w:val="18"/>
                <w:lang w:eastAsia="ko-KR"/>
              </w:rPr>
              <w:t xml:space="preserve"> sec warm-up period </w:t>
            </w:r>
            <w:r w:rsidRPr="00207647">
              <w:rPr>
                <w:rFonts w:eastAsia="Malgun Gothic"/>
                <w:sz w:val="18"/>
                <w:lang w:eastAsia="ko-KR"/>
              </w:rPr>
              <w:t xml:space="preserve"> and 10 drops</w:t>
            </w:r>
            <w:r w:rsidR="00887571" w:rsidRPr="00207647">
              <w:rPr>
                <w:rFonts w:eastAsia="Malgun Gothic"/>
                <w:sz w:val="18"/>
                <w:lang w:eastAsia="ko-KR"/>
              </w:rPr>
              <w:t>.</w:t>
            </w:r>
          </w:p>
        </w:tc>
      </w:tr>
    </w:tbl>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C07AA" w14:textId="77777777" w:rsidR="00BF6F58" w:rsidRDefault="00BF6F58">
      <w:r>
        <w:separator/>
      </w:r>
    </w:p>
  </w:endnote>
  <w:endnote w:type="continuationSeparator" w:id="0">
    <w:p w14:paraId="60E56878" w14:textId="77777777" w:rsidR="00BF6F58" w:rsidRDefault="00BF6F58">
      <w:r>
        <w:continuationSeparator/>
      </w:r>
    </w:p>
  </w:endnote>
  <w:endnote w:type="continuationNotice" w:id="1">
    <w:p w14:paraId="15B55BE4" w14:textId="77777777" w:rsidR="00BF6F58" w:rsidRDefault="00BF6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72A3C" w14:textId="77777777" w:rsidR="00BF6F58" w:rsidRDefault="00BF6F58">
      <w:r>
        <w:separator/>
      </w:r>
    </w:p>
  </w:footnote>
  <w:footnote w:type="continuationSeparator" w:id="0">
    <w:p w14:paraId="33014CA5" w14:textId="77777777" w:rsidR="00BF6F58" w:rsidRDefault="00BF6F58">
      <w:r>
        <w:continuationSeparator/>
      </w:r>
    </w:p>
  </w:footnote>
  <w:footnote w:type="continuationNotice" w:id="1">
    <w:p w14:paraId="409B9F24" w14:textId="77777777" w:rsidR="00BF6F58" w:rsidRDefault="00BF6F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7701C6"/>
    <w:multiLevelType w:val="hybridMultilevel"/>
    <w:tmpl w:val="50BCCBA4"/>
    <w:lvl w:ilvl="0" w:tplc="04070001">
      <w:start w:val="1"/>
      <w:numFmt w:val="bullet"/>
      <w:lvlText w:val=""/>
      <w:lvlJc w:val="left"/>
      <w:pPr>
        <w:ind w:left="928" w:hanging="360"/>
      </w:pPr>
      <w:rPr>
        <w:rFonts w:ascii="Symbol" w:hAnsi="Symbol" w:hint="default"/>
      </w:rPr>
    </w:lvl>
    <w:lvl w:ilvl="1" w:tplc="04070005">
      <w:start w:val="1"/>
      <w:numFmt w:val="bullet"/>
      <w:lvlText w:val=""/>
      <w:lvlJc w:val="left"/>
      <w:pPr>
        <w:ind w:left="1648" w:hanging="360"/>
      </w:pPr>
      <w:rPr>
        <w:rFonts w:ascii="Wingdings" w:hAnsi="Wingdings"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16206E30"/>
    <w:multiLevelType w:val="hybridMultilevel"/>
    <w:tmpl w:val="93D280B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6410258"/>
    <w:multiLevelType w:val="hybridMultilevel"/>
    <w:tmpl w:val="3558DB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F1423D"/>
    <w:multiLevelType w:val="hybridMultilevel"/>
    <w:tmpl w:val="DF684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4C669F"/>
    <w:multiLevelType w:val="hybridMultilevel"/>
    <w:tmpl w:val="E834A80A"/>
    <w:lvl w:ilvl="0" w:tplc="4820481C">
      <w:start w:val="1"/>
      <w:numFmt w:val="decimal"/>
      <w:lvlText w:val="%1"/>
      <w:lvlJc w:val="left"/>
      <w:pPr>
        <w:ind w:left="1490" w:hanging="113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312767"/>
    <w:multiLevelType w:val="hybridMultilevel"/>
    <w:tmpl w:val="89E000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C71E13"/>
    <w:multiLevelType w:val="hybridMultilevel"/>
    <w:tmpl w:val="D1C03A7C"/>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5266C67"/>
    <w:multiLevelType w:val="hybridMultilevel"/>
    <w:tmpl w:val="70803738"/>
    <w:lvl w:ilvl="0" w:tplc="0407000F">
      <w:start w:val="1"/>
      <w:numFmt w:val="decimal"/>
      <w:lvlText w:val="%1."/>
      <w:lvlJc w:val="left"/>
      <w:pPr>
        <w:ind w:left="1658" w:hanging="360"/>
      </w:pPr>
    </w:lvl>
    <w:lvl w:ilvl="1" w:tplc="04070003">
      <w:start w:val="1"/>
      <w:numFmt w:val="bullet"/>
      <w:lvlText w:val="o"/>
      <w:lvlJc w:val="left"/>
      <w:pPr>
        <w:ind w:left="2378" w:hanging="360"/>
      </w:pPr>
      <w:rPr>
        <w:rFonts w:ascii="Courier New" w:hAnsi="Courier New" w:cs="Courier New" w:hint="default"/>
      </w:rPr>
    </w:lvl>
    <w:lvl w:ilvl="2" w:tplc="0407001B" w:tentative="1">
      <w:start w:val="1"/>
      <w:numFmt w:val="lowerRoman"/>
      <w:lvlText w:val="%3."/>
      <w:lvlJc w:val="right"/>
      <w:pPr>
        <w:ind w:left="3098" w:hanging="180"/>
      </w:pPr>
    </w:lvl>
    <w:lvl w:ilvl="3" w:tplc="0407000F" w:tentative="1">
      <w:start w:val="1"/>
      <w:numFmt w:val="decimal"/>
      <w:lvlText w:val="%4."/>
      <w:lvlJc w:val="left"/>
      <w:pPr>
        <w:ind w:left="3818" w:hanging="360"/>
      </w:pPr>
    </w:lvl>
    <w:lvl w:ilvl="4" w:tplc="04070019" w:tentative="1">
      <w:start w:val="1"/>
      <w:numFmt w:val="lowerLetter"/>
      <w:lvlText w:val="%5."/>
      <w:lvlJc w:val="left"/>
      <w:pPr>
        <w:ind w:left="4538" w:hanging="360"/>
      </w:pPr>
    </w:lvl>
    <w:lvl w:ilvl="5" w:tplc="0407001B" w:tentative="1">
      <w:start w:val="1"/>
      <w:numFmt w:val="lowerRoman"/>
      <w:lvlText w:val="%6."/>
      <w:lvlJc w:val="right"/>
      <w:pPr>
        <w:ind w:left="5258" w:hanging="180"/>
      </w:pPr>
    </w:lvl>
    <w:lvl w:ilvl="6" w:tplc="0407000F" w:tentative="1">
      <w:start w:val="1"/>
      <w:numFmt w:val="decimal"/>
      <w:lvlText w:val="%7."/>
      <w:lvlJc w:val="left"/>
      <w:pPr>
        <w:ind w:left="5978" w:hanging="360"/>
      </w:pPr>
    </w:lvl>
    <w:lvl w:ilvl="7" w:tplc="04070019" w:tentative="1">
      <w:start w:val="1"/>
      <w:numFmt w:val="lowerLetter"/>
      <w:lvlText w:val="%8."/>
      <w:lvlJc w:val="left"/>
      <w:pPr>
        <w:ind w:left="6698" w:hanging="360"/>
      </w:pPr>
    </w:lvl>
    <w:lvl w:ilvl="8" w:tplc="0407001B" w:tentative="1">
      <w:start w:val="1"/>
      <w:numFmt w:val="lowerRoman"/>
      <w:lvlText w:val="%9."/>
      <w:lvlJc w:val="right"/>
      <w:pPr>
        <w:ind w:left="7418" w:hanging="180"/>
      </w:pPr>
    </w:lvl>
  </w:abstractNum>
  <w:abstractNum w:abstractNumId="22" w15:restartNumberingAfterBreak="0">
    <w:nsid w:val="5C4A49A0"/>
    <w:multiLevelType w:val="hybridMultilevel"/>
    <w:tmpl w:val="7FEE48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9B5D26"/>
    <w:multiLevelType w:val="hybridMultilevel"/>
    <w:tmpl w:val="6032FC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DC7797"/>
    <w:multiLevelType w:val="hybridMultilevel"/>
    <w:tmpl w:val="615A464C"/>
    <w:lvl w:ilvl="0" w:tplc="04070003">
      <w:start w:val="1"/>
      <w:numFmt w:val="bullet"/>
      <w:lvlText w:val="o"/>
      <w:lvlJc w:val="left"/>
      <w:pPr>
        <w:ind w:left="928" w:hanging="360"/>
      </w:pPr>
      <w:rPr>
        <w:rFonts w:ascii="Courier New" w:hAnsi="Courier New" w:cs="Courier New"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31" w15:restartNumberingAfterBreak="0">
    <w:nsid w:val="7DE21668"/>
    <w:multiLevelType w:val="hybridMultilevel"/>
    <w:tmpl w:val="988E1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8F7AA8"/>
    <w:multiLevelType w:val="hybridMultilevel"/>
    <w:tmpl w:val="A066185C"/>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6"/>
  </w:num>
  <w:num w:numId="7">
    <w:abstractNumId w:val="17"/>
  </w:num>
  <w:num w:numId="8">
    <w:abstractNumId w:val="23"/>
  </w:num>
  <w:num w:numId="9">
    <w:abstractNumId w:val="12"/>
  </w:num>
  <w:num w:numId="10">
    <w:abstractNumId w:val="29"/>
  </w:num>
  <w:num w:numId="11">
    <w:abstractNumId w:val="15"/>
  </w:num>
  <w:num w:numId="12">
    <w:abstractNumId w:val="26"/>
  </w:num>
  <w:num w:numId="13">
    <w:abstractNumId w:val="4"/>
  </w:num>
  <w:num w:numId="14">
    <w:abstractNumId w:val="8"/>
  </w:num>
  <w:num w:numId="15">
    <w:abstractNumId w:val="25"/>
  </w:num>
  <w:num w:numId="16">
    <w:abstractNumId w:val="3"/>
  </w:num>
  <w:num w:numId="17">
    <w:abstractNumId w:val="19"/>
  </w:num>
  <w:num w:numId="18">
    <w:abstractNumId w:val="13"/>
  </w:num>
  <w:num w:numId="19">
    <w:abstractNumId w:val="27"/>
  </w:num>
  <w:num w:numId="20">
    <w:abstractNumId w:val="9"/>
  </w:num>
  <w:num w:numId="21">
    <w:abstractNumId w:val="22"/>
  </w:num>
  <w:num w:numId="22">
    <w:abstractNumId w:val="14"/>
  </w:num>
  <w:num w:numId="23">
    <w:abstractNumId w:val="6"/>
  </w:num>
  <w:num w:numId="24">
    <w:abstractNumId w:val="21"/>
  </w:num>
  <w:num w:numId="25">
    <w:abstractNumId w:val="32"/>
  </w:num>
  <w:num w:numId="26">
    <w:abstractNumId w:val="18"/>
  </w:num>
  <w:num w:numId="27">
    <w:abstractNumId w:val="2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4"/>
  </w:num>
  <w:num w:numId="30">
    <w:abstractNumId w:val="7"/>
  </w:num>
  <w:num w:numId="31">
    <w:abstractNumId w:val="30"/>
  </w:num>
  <w:num w:numId="32">
    <w:abstractNumId w:val="5"/>
  </w:num>
  <w:num w:numId="33">
    <w:abstractNumId w:val="31"/>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5D"/>
    <w:rsid w:val="000060F0"/>
    <w:rsid w:val="00006C10"/>
    <w:rsid w:val="00012719"/>
    <w:rsid w:val="00012AF1"/>
    <w:rsid w:val="00012EAE"/>
    <w:rsid w:val="00016557"/>
    <w:rsid w:val="00017CEA"/>
    <w:rsid w:val="000201DE"/>
    <w:rsid w:val="00023BC1"/>
    <w:rsid w:val="00023C40"/>
    <w:rsid w:val="0002469A"/>
    <w:rsid w:val="00030AB5"/>
    <w:rsid w:val="000332DA"/>
    <w:rsid w:val="00033397"/>
    <w:rsid w:val="0003632B"/>
    <w:rsid w:val="00040095"/>
    <w:rsid w:val="000415D7"/>
    <w:rsid w:val="0004568F"/>
    <w:rsid w:val="00047366"/>
    <w:rsid w:val="00051F63"/>
    <w:rsid w:val="00052453"/>
    <w:rsid w:val="00054D60"/>
    <w:rsid w:val="00062681"/>
    <w:rsid w:val="00062A8C"/>
    <w:rsid w:val="00063882"/>
    <w:rsid w:val="00065268"/>
    <w:rsid w:val="000701B7"/>
    <w:rsid w:val="00073C9C"/>
    <w:rsid w:val="00076412"/>
    <w:rsid w:val="00076A68"/>
    <w:rsid w:val="00080512"/>
    <w:rsid w:val="000810A8"/>
    <w:rsid w:val="000814F3"/>
    <w:rsid w:val="000875CF"/>
    <w:rsid w:val="00090468"/>
    <w:rsid w:val="00094568"/>
    <w:rsid w:val="00096481"/>
    <w:rsid w:val="000A3B37"/>
    <w:rsid w:val="000B7671"/>
    <w:rsid w:val="000B7BCF"/>
    <w:rsid w:val="000C32F7"/>
    <w:rsid w:val="000C522B"/>
    <w:rsid w:val="000C66DD"/>
    <w:rsid w:val="000D11DA"/>
    <w:rsid w:val="000D39C8"/>
    <w:rsid w:val="000D58AB"/>
    <w:rsid w:val="000D6ABD"/>
    <w:rsid w:val="000E138F"/>
    <w:rsid w:val="000F52FC"/>
    <w:rsid w:val="00102934"/>
    <w:rsid w:val="00106EF9"/>
    <w:rsid w:val="00111A3A"/>
    <w:rsid w:val="00111D3C"/>
    <w:rsid w:val="00112F1A"/>
    <w:rsid w:val="00113BD9"/>
    <w:rsid w:val="00113CBC"/>
    <w:rsid w:val="00122477"/>
    <w:rsid w:val="001229C7"/>
    <w:rsid w:val="001239C1"/>
    <w:rsid w:val="001266F4"/>
    <w:rsid w:val="00131EAB"/>
    <w:rsid w:val="001327BD"/>
    <w:rsid w:val="00133E41"/>
    <w:rsid w:val="001357B7"/>
    <w:rsid w:val="0013623C"/>
    <w:rsid w:val="00136A26"/>
    <w:rsid w:val="00142D02"/>
    <w:rsid w:val="00145075"/>
    <w:rsid w:val="001461FB"/>
    <w:rsid w:val="00147201"/>
    <w:rsid w:val="001546FD"/>
    <w:rsid w:val="0015E7E4"/>
    <w:rsid w:val="00166B75"/>
    <w:rsid w:val="00170B3F"/>
    <w:rsid w:val="001741A0"/>
    <w:rsid w:val="00174601"/>
    <w:rsid w:val="00175FA0"/>
    <w:rsid w:val="0017647F"/>
    <w:rsid w:val="001832D1"/>
    <w:rsid w:val="00186726"/>
    <w:rsid w:val="00191BC4"/>
    <w:rsid w:val="00193B21"/>
    <w:rsid w:val="00194CD0"/>
    <w:rsid w:val="00197280"/>
    <w:rsid w:val="001B0161"/>
    <w:rsid w:val="001B44C7"/>
    <w:rsid w:val="001B49C9"/>
    <w:rsid w:val="001C23F4"/>
    <w:rsid w:val="001C4554"/>
    <w:rsid w:val="001C49BC"/>
    <w:rsid w:val="001C4F79"/>
    <w:rsid w:val="001C6F24"/>
    <w:rsid w:val="001D756A"/>
    <w:rsid w:val="001E0437"/>
    <w:rsid w:val="001E3468"/>
    <w:rsid w:val="001F0C96"/>
    <w:rsid w:val="001F168B"/>
    <w:rsid w:val="001F385C"/>
    <w:rsid w:val="001F7831"/>
    <w:rsid w:val="00200D41"/>
    <w:rsid w:val="002017FF"/>
    <w:rsid w:val="00203244"/>
    <w:rsid w:val="00204045"/>
    <w:rsid w:val="0020712B"/>
    <w:rsid w:val="00207647"/>
    <w:rsid w:val="0020767C"/>
    <w:rsid w:val="002103BD"/>
    <w:rsid w:val="00210A54"/>
    <w:rsid w:val="00212987"/>
    <w:rsid w:val="00213282"/>
    <w:rsid w:val="00213460"/>
    <w:rsid w:val="00213CA9"/>
    <w:rsid w:val="002163AE"/>
    <w:rsid w:val="00216D44"/>
    <w:rsid w:val="002216A4"/>
    <w:rsid w:val="0022274D"/>
    <w:rsid w:val="00223B5E"/>
    <w:rsid w:val="002256AD"/>
    <w:rsid w:val="0022606D"/>
    <w:rsid w:val="002302AB"/>
    <w:rsid w:val="00231728"/>
    <w:rsid w:val="002333D8"/>
    <w:rsid w:val="00233822"/>
    <w:rsid w:val="002425C2"/>
    <w:rsid w:val="00242946"/>
    <w:rsid w:val="00243BD5"/>
    <w:rsid w:val="00244A05"/>
    <w:rsid w:val="00246ADE"/>
    <w:rsid w:val="00250404"/>
    <w:rsid w:val="00250AEC"/>
    <w:rsid w:val="00250D86"/>
    <w:rsid w:val="002529CC"/>
    <w:rsid w:val="00256B74"/>
    <w:rsid w:val="0025712B"/>
    <w:rsid w:val="0025772C"/>
    <w:rsid w:val="00257D56"/>
    <w:rsid w:val="00260040"/>
    <w:rsid w:val="002610D8"/>
    <w:rsid w:val="00261746"/>
    <w:rsid w:val="002621CB"/>
    <w:rsid w:val="00262460"/>
    <w:rsid w:val="00262545"/>
    <w:rsid w:val="00263B46"/>
    <w:rsid w:val="0027089A"/>
    <w:rsid w:val="0027204B"/>
    <w:rsid w:val="0027352E"/>
    <w:rsid w:val="00273CBC"/>
    <w:rsid w:val="002747EA"/>
    <w:rsid w:val="002747EC"/>
    <w:rsid w:val="00282B3C"/>
    <w:rsid w:val="00282D85"/>
    <w:rsid w:val="00284903"/>
    <w:rsid w:val="002855BF"/>
    <w:rsid w:val="00286636"/>
    <w:rsid w:val="00286F10"/>
    <w:rsid w:val="002923D9"/>
    <w:rsid w:val="002A38D4"/>
    <w:rsid w:val="002A3F7D"/>
    <w:rsid w:val="002A4A90"/>
    <w:rsid w:val="002A5A35"/>
    <w:rsid w:val="002A7409"/>
    <w:rsid w:val="002B0223"/>
    <w:rsid w:val="002B2988"/>
    <w:rsid w:val="002B6DC8"/>
    <w:rsid w:val="002C265A"/>
    <w:rsid w:val="002C5DF1"/>
    <w:rsid w:val="002C6203"/>
    <w:rsid w:val="002D1276"/>
    <w:rsid w:val="002E0C8E"/>
    <w:rsid w:val="002E131C"/>
    <w:rsid w:val="002E4D32"/>
    <w:rsid w:val="002F0D22"/>
    <w:rsid w:val="002F1B1B"/>
    <w:rsid w:val="002F2CEB"/>
    <w:rsid w:val="002F2FF7"/>
    <w:rsid w:val="0030070E"/>
    <w:rsid w:val="003059EB"/>
    <w:rsid w:val="003074C0"/>
    <w:rsid w:val="00310903"/>
    <w:rsid w:val="00311B17"/>
    <w:rsid w:val="00312E16"/>
    <w:rsid w:val="00315883"/>
    <w:rsid w:val="003172DC"/>
    <w:rsid w:val="0032114E"/>
    <w:rsid w:val="003211D3"/>
    <w:rsid w:val="00321F0D"/>
    <w:rsid w:val="00325AE3"/>
    <w:rsid w:val="00326069"/>
    <w:rsid w:val="00332A5E"/>
    <w:rsid w:val="00336162"/>
    <w:rsid w:val="003362C5"/>
    <w:rsid w:val="00337911"/>
    <w:rsid w:val="00337974"/>
    <w:rsid w:val="00340584"/>
    <w:rsid w:val="00341984"/>
    <w:rsid w:val="00342442"/>
    <w:rsid w:val="00342470"/>
    <w:rsid w:val="003448BF"/>
    <w:rsid w:val="003503A6"/>
    <w:rsid w:val="003528BE"/>
    <w:rsid w:val="0035324C"/>
    <w:rsid w:val="0035462D"/>
    <w:rsid w:val="00355EE1"/>
    <w:rsid w:val="0036132B"/>
    <w:rsid w:val="00362049"/>
    <w:rsid w:val="0036459E"/>
    <w:rsid w:val="00364B41"/>
    <w:rsid w:val="0037486A"/>
    <w:rsid w:val="003766B1"/>
    <w:rsid w:val="003770AA"/>
    <w:rsid w:val="0038105F"/>
    <w:rsid w:val="00381589"/>
    <w:rsid w:val="00381AA6"/>
    <w:rsid w:val="00382B4E"/>
    <w:rsid w:val="00383096"/>
    <w:rsid w:val="00386AFA"/>
    <w:rsid w:val="0039238C"/>
    <w:rsid w:val="0039346C"/>
    <w:rsid w:val="003A3B12"/>
    <w:rsid w:val="003A41EF"/>
    <w:rsid w:val="003A4B09"/>
    <w:rsid w:val="003A777F"/>
    <w:rsid w:val="003B14E6"/>
    <w:rsid w:val="003B3F1C"/>
    <w:rsid w:val="003B40AD"/>
    <w:rsid w:val="003B58B3"/>
    <w:rsid w:val="003C3313"/>
    <w:rsid w:val="003C3E23"/>
    <w:rsid w:val="003C4E37"/>
    <w:rsid w:val="003D078A"/>
    <w:rsid w:val="003D3EB8"/>
    <w:rsid w:val="003D4CC3"/>
    <w:rsid w:val="003D4E9B"/>
    <w:rsid w:val="003D5EA6"/>
    <w:rsid w:val="003D62D5"/>
    <w:rsid w:val="003D654B"/>
    <w:rsid w:val="003E14B0"/>
    <w:rsid w:val="003E15E6"/>
    <w:rsid w:val="003E16BE"/>
    <w:rsid w:val="003E1E1C"/>
    <w:rsid w:val="003E22B0"/>
    <w:rsid w:val="003E31AE"/>
    <w:rsid w:val="003E59E1"/>
    <w:rsid w:val="003F12B2"/>
    <w:rsid w:val="003F1410"/>
    <w:rsid w:val="003F34F9"/>
    <w:rsid w:val="003F36CD"/>
    <w:rsid w:val="003F4E28"/>
    <w:rsid w:val="003F57B4"/>
    <w:rsid w:val="004006E8"/>
    <w:rsid w:val="00401855"/>
    <w:rsid w:val="004044E8"/>
    <w:rsid w:val="004051CF"/>
    <w:rsid w:val="00405EF2"/>
    <w:rsid w:val="004067C7"/>
    <w:rsid w:val="00406E3C"/>
    <w:rsid w:val="00411728"/>
    <w:rsid w:val="004130EE"/>
    <w:rsid w:val="00424488"/>
    <w:rsid w:val="00432DB8"/>
    <w:rsid w:val="00433C8C"/>
    <w:rsid w:val="0043628E"/>
    <w:rsid w:val="004410D7"/>
    <w:rsid w:val="0044608F"/>
    <w:rsid w:val="00446C3A"/>
    <w:rsid w:val="0045453A"/>
    <w:rsid w:val="004633BB"/>
    <w:rsid w:val="00464CF3"/>
    <w:rsid w:val="00465587"/>
    <w:rsid w:val="004721CE"/>
    <w:rsid w:val="004739C4"/>
    <w:rsid w:val="00477455"/>
    <w:rsid w:val="004833BF"/>
    <w:rsid w:val="00484276"/>
    <w:rsid w:val="00484B35"/>
    <w:rsid w:val="00490649"/>
    <w:rsid w:val="004908C7"/>
    <w:rsid w:val="00493736"/>
    <w:rsid w:val="00495342"/>
    <w:rsid w:val="004A1F7B"/>
    <w:rsid w:val="004A42F3"/>
    <w:rsid w:val="004A6FB0"/>
    <w:rsid w:val="004A7CE1"/>
    <w:rsid w:val="004B03C4"/>
    <w:rsid w:val="004C128E"/>
    <w:rsid w:val="004C306A"/>
    <w:rsid w:val="004C44D2"/>
    <w:rsid w:val="004C746D"/>
    <w:rsid w:val="004C7CEE"/>
    <w:rsid w:val="004D3578"/>
    <w:rsid w:val="004D380D"/>
    <w:rsid w:val="004D6ECB"/>
    <w:rsid w:val="004E09B9"/>
    <w:rsid w:val="004E213A"/>
    <w:rsid w:val="004E40D3"/>
    <w:rsid w:val="004E74D8"/>
    <w:rsid w:val="004F4540"/>
    <w:rsid w:val="004F5029"/>
    <w:rsid w:val="004F73A7"/>
    <w:rsid w:val="00503171"/>
    <w:rsid w:val="00504491"/>
    <w:rsid w:val="00505656"/>
    <w:rsid w:val="00506C28"/>
    <w:rsid w:val="00507138"/>
    <w:rsid w:val="00510F7A"/>
    <w:rsid w:val="00511816"/>
    <w:rsid w:val="00514127"/>
    <w:rsid w:val="00516BBD"/>
    <w:rsid w:val="00516CFB"/>
    <w:rsid w:val="00521F2C"/>
    <w:rsid w:val="0052555A"/>
    <w:rsid w:val="0052664F"/>
    <w:rsid w:val="00533F46"/>
    <w:rsid w:val="00534DA0"/>
    <w:rsid w:val="00540916"/>
    <w:rsid w:val="00540C12"/>
    <w:rsid w:val="00542D01"/>
    <w:rsid w:val="00543E6C"/>
    <w:rsid w:val="00543EB0"/>
    <w:rsid w:val="005445C4"/>
    <w:rsid w:val="00545925"/>
    <w:rsid w:val="00545A4E"/>
    <w:rsid w:val="00546AAE"/>
    <w:rsid w:val="005539C5"/>
    <w:rsid w:val="00556947"/>
    <w:rsid w:val="0055770B"/>
    <w:rsid w:val="005605B5"/>
    <w:rsid w:val="005610AF"/>
    <w:rsid w:val="005617A1"/>
    <w:rsid w:val="00563A51"/>
    <w:rsid w:val="00565087"/>
    <w:rsid w:val="005650EE"/>
    <w:rsid w:val="0056573F"/>
    <w:rsid w:val="00566E8D"/>
    <w:rsid w:val="00571279"/>
    <w:rsid w:val="00574CDF"/>
    <w:rsid w:val="00581FFB"/>
    <w:rsid w:val="00582451"/>
    <w:rsid w:val="0058316E"/>
    <w:rsid w:val="0058505C"/>
    <w:rsid w:val="00592806"/>
    <w:rsid w:val="00593B0B"/>
    <w:rsid w:val="00594550"/>
    <w:rsid w:val="0059619B"/>
    <w:rsid w:val="00597B1C"/>
    <w:rsid w:val="005A13AB"/>
    <w:rsid w:val="005A20DB"/>
    <w:rsid w:val="005A24B2"/>
    <w:rsid w:val="005A49C6"/>
    <w:rsid w:val="005A66B1"/>
    <w:rsid w:val="005C037E"/>
    <w:rsid w:val="005C29B7"/>
    <w:rsid w:val="005C6CAF"/>
    <w:rsid w:val="005C766E"/>
    <w:rsid w:val="005C7CD5"/>
    <w:rsid w:val="005D0919"/>
    <w:rsid w:val="005D1200"/>
    <w:rsid w:val="005D7C20"/>
    <w:rsid w:val="005E25CF"/>
    <w:rsid w:val="005E2F7A"/>
    <w:rsid w:val="005E41ED"/>
    <w:rsid w:val="005E6BCF"/>
    <w:rsid w:val="005F0A10"/>
    <w:rsid w:val="005F0BC5"/>
    <w:rsid w:val="005F4947"/>
    <w:rsid w:val="005F73A3"/>
    <w:rsid w:val="006040B9"/>
    <w:rsid w:val="00606601"/>
    <w:rsid w:val="00607A35"/>
    <w:rsid w:val="00611566"/>
    <w:rsid w:val="00612735"/>
    <w:rsid w:val="00615EAA"/>
    <w:rsid w:val="00620518"/>
    <w:rsid w:val="00622F0F"/>
    <w:rsid w:val="006319C8"/>
    <w:rsid w:val="00637F12"/>
    <w:rsid w:val="00646D99"/>
    <w:rsid w:val="006506C7"/>
    <w:rsid w:val="00653D06"/>
    <w:rsid w:val="00656910"/>
    <w:rsid w:val="006574C0"/>
    <w:rsid w:val="0067539D"/>
    <w:rsid w:val="006764E1"/>
    <w:rsid w:val="00676A8F"/>
    <w:rsid w:val="00683E0A"/>
    <w:rsid w:val="00684DDC"/>
    <w:rsid w:val="006855BF"/>
    <w:rsid w:val="00690A1C"/>
    <w:rsid w:val="00691C05"/>
    <w:rsid w:val="0069365D"/>
    <w:rsid w:val="00696821"/>
    <w:rsid w:val="00696A59"/>
    <w:rsid w:val="00697DDF"/>
    <w:rsid w:val="006A00D1"/>
    <w:rsid w:val="006A30F3"/>
    <w:rsid w:val="006B16C3"/>
    <w:rsid w:val="006C402C"/>
    <w:rsid w:val="006C648A"/>
    <w:rsid w:val="006C66D8"/>
    <w:rsid w:val="006D1E24"/>
    <w:rsid w:val="006D35DE"/>
    <w:rsid w:val="006D4D83"/>
    <w:rsid w:val="006E0365"/>
    <w:rsid w:val="006E1057"/>
    <w:rsid w:val="006E1417"/>
    <w:rsid w:val="006E46F2"/>
    <w:rsid w:val="006E6BB0"/>
    <w:rsid w:val="006E776E"/>
    <w:rsid w:val="006F2E04"/>
    <w:rsid w:val="006F5085"/>
    <w:rsid w:val="006F62A0"/>
    <w:rsid w:val="006F65A2"/>
    <w:rsid w:val="006F6A2C"/>
    <w:rsid w:val="006F75A5"/>
    <w:rsid w:val="00704B30"/>
    <w:rsid w:val="007069DC"/>
    <w:rsid w:val="00710201"/>
    <w:rsid w:val="00711B8E"/>
    <w:rsid w:val="0072073A"/>
    <w:rsid w:val="007209D0"/>
    <w:rsid w:val="00720F76"/>
    <w:rsid w:val="00722BAB"/>
    <w:rsid w:val="00726E7A"/>
    <w:rsid w:val="00727D81"/>
    <w:rsid w:val="00731E1F"/>
    <w:rsid w:val="007342B5"/>
    <w:rsid w:val="00734A5B"/>
    <w:rsid w:val="00736FDE"/>
    <w:rsid w:val="00737D00"/>
    <w:rsid w:val="00742100"/>
    <w:rsid w:val="00744E76"/>
    <w:rsid w:val="0074578B"/>
    <w:rsid w:val="0074656D"/>
    <w:rsid w:val="007515F9"/>
    <w:rsid w:val="0075162A"/>
    <w:rsid w:val="007524DF"/>
    <w:rsid w:val="00755558"/>
    <w:rsid w:val="0075728F"/>
    <w:rsid w:val="00757D40"/>
    <w:rsid w:val="007605FB"/>
    <w:rsid w:val="00761BFD"/>
    <w:rsid w:val="00763017"/>
    <w:rsid w:val="00763046"/>
    <w:rsid w:val="00766085"/>
    <w:rsid w:val="007662B5"/>
    <w:rsid w:val="00767910"/>
    <w:rsid w:val="0077403A"/>
    <w:rsid w:val="00776627"/>
    <w:rsid w:val="00780352"/>
    <w:rsid w:val="00780CDE"/>
    <w:rsid w:val="00781F0F"/>
    <w:rsid w:val="00782F44"/>
    <w:rsid w:val="00785188"/>
    <w:rsid w:val="0078727C"/>
    <w:rsid w:val="00787461"/>
    <w:rsid w:val="00787A8E"/>
    <w:rsid w:val="0079049D"/>
    <w:rsid w:val="00790B46"/>
    <w:rsid w:val="0079351F"/>
    <w:rsid w:val="00793DC5"/>
    <w:rsid w:val="007944C6"/>
    <w:rsid w:val="00795DF4"/>
    <w:rsid w:val="00796823"/>
    <w:rsid w:val="007A2106"/>
    <w:rsid w:val="007A2E55"/>
    <w:rsid w:val="007A3778"/>
    <w:rsid w:val="007B18D8"/>
    <w:rsid w:val="007C095F"/>
    <w:rsid w:val="007C20A9"/>
    <w:rsid w:val="007C2DD0"/>
    <w:rsid w:val="007C31A6"/>
    <w:rsid w:val="007C5C6E"/>
    <w:rsid w:val="007D1BB5"/>
    <w:rsid w:val="007D505B"/>
    <w:rsid w:val="007D6E3C"/>
    <w:rsid w:val="007D720F"/>
    <w:rsid w:val="007E1894"/>
    <w:rsid w:val="007E356F"/>
    <w:rsid w:val="007F2E08"/>
    <w:rsid w:val="007F3505"/>
    <w:rsid w:val="007F5736"/>
    <w:rsid w:val="00800DD9"/>
    <w:rsid w:val="008024FA"/>
    <w:rsid w:val="008028A4"/>
    <w:rsid w:val="00806279"/>
    <w:rsid w:val="00806537"/>
    <w:rsid w:val="0081107C"/>
    <w:rsid w:val="00813245"/>
    <w:rsid w:val="00815C96"/>
    <w:rsid w:val="008205A3"/>
    <w:rsid w:val="00827347"/>
    <w:rsid w:val="00840DE0"/>
    <w:rsid w:val="00842F34"/>
    <w:rsid w:val="00843E32"/>
    <w:rsid w:val="0084623B"/>
    <w:rsid w:val="00847CD0"/>
    <w:rsid w:val="00851724"/>
    <w:rsid w:val="00851CF8"/>
    <w:rsid w:val="008549DF"/>
    <w:rsid w:val="008607A8"/>
    <w:rsid w:val="008632D9"/>
    <w:rsid w:val="0086354A"/>
    <w:rsid w:val="008737EE"/>
    <w:rsid w:val="008768CA"/>
    <w:rsid w:val="00877EF9"/>
    <w:rsid w:val="00880559"/>
    <w:rsid w:val="00880E2F"/>
    <w:rsid w:val="008860F4"/>
    <w:rsid w:val="00887571"/>
    <w:rsid w:val="00890A66"/>
    <w:rsid w:val="008948D7"/>
    <w:rsid w:val="0089541D"/>
    <w:rsid w:val="008978B1"/>
    <w:rsid w:val="008A4059"/>
    <w:rsid w:val="008A7C0A"/>
    <w:rsid w:val="008A7DC9"/>
    <w:rsid w:val="008B123B"/>
    <w:rsid w:val="008B4248"/>
    <w:rsid w:val="008B4501"/>
    <w:rsid w:val="008B5306"/>
    <w:rsid w:val="008C2E2A"/>
    <w:rsid w:val="008C3057"/>
    <w:rsid w:val="008C3ED0"/>
    <w:rsid w:val="008C4803"/>
    <w:rsid w:val="008D2E4D"/>
    <w:rsid w:val="008D5907"/>
    <w:rsid w:val="008D6C3F"/>
    <w:rsid w:val="008E0258"/>
    <w:rsid w:val="008E1F8F"/>
    <w:rsid w:val="008E5816"/>
    <w:rsid w:val="008E71C1"/>
    <w:rsid w:val="008F1220"/>
    <w:rsid w:val="008F2F00"/>
    <w:rsid w:val="008F3199"/>
    <w:rsid w:val="008F396F"/>
    <w:rsid w:val="008F3DCD"/>
    <w:rsid w:val="008F3E8D"/>
    <w:rsid w:val="008F42E7"/>
    <w:rsid w:val="008F5BCE"/>
    <w:rsid w:val="0090271F"/>
    <w:rsid w:val="00902DB9"/>
    <w:rsid w:val="009034B7"/>
    <w:rsid w:val="0090466A"/>
    <w:rsid w:val="00904FD0"/>
    <w:rsid w:val="0090678F"/>
    <w:rsid w:val="00910513"/>
    <w:rsid w:val="00911972"/>
    <w:rsid w:val="00911AB0"/>
    <w:rsid w:val="0091259C"/>
    <w:rsid w:val="00914DDF"/>
    <w:rsid w:val="00916F35"/>
    <w:rsid w:val="00917768"/>
    <w:rsid w:val="00921AFA"/>
    <w:rsid w:val="00923655"/>
    <w:rsid w:val="009339CB"/>
    <w:rsid w:val="00933B11"/>
    <w:rsid w:val="00935E18"/>
    <w:rsid w:val="00936071"/>
    <w:rsid w:val="009376CD"/>
    <w:rsid w:val="00937C96"/>
    <w:rsid w:val="00937D83"/>
    <w:rsid w:val="00937EF5"/>
    <w:rsid w:val="00940212"/>
    <w:rsid w:val="00941F28"/>
    <w:rsid w:val="00942EC2"/>
    <w:rsid w:val="00953712"/>
    <w:rsid w:val="00957350"/>
    <w:rsid w:val="00957AE7"/>
    <w:rsid w:val="00961449"/>
    <w:rsid w:val="00961B32"/>
    <w:rsid w:val="00962058"/>
    <w:rsid w:val="00962509"/>
    <w:rsid w:val="00963E57"/>
    <w:rsid w:val="009647BF"/>
    <w:rsid w:val="009672BE"/>
    <w:rsid w:val="00970BDC"/>
    <w:rsid w:val="00970DB3"/>
    <w:rsid w:val="00973582"/>
    <w:rsid w:val="00974BB0"/>
    <w:rsid w:val="00975007"/>
    <w:rsid w:val="00975BCD"/>
    <w:rsid w:val="0098025E"/>
    <w:rsid w:val="00982BE1"/>
    <w:rsid w:val="00982F56"/>
    <w:rsid w:val="00983C96"/>
    <w:rsid w:val="009928A9"/>
    <w:rsid w:val="00992CB2"/>
    <w:rsid w:val="0099353E"/>
    <w:rsid w:val="009953CE"/>
    <w:rsid w:val="009A0AF3"/>
    <w:rsid w:val="009A377C"/>
    <w:rsid w:val="009B0381"/>
    <w:rsid w:val="009B07CD"/>
    <w:rsid w:val="009B13E1"/>
    <w:rsid w:val="009B42F4"/>
    <w:rsid w:val="009C0038"/>
    <w:rsid w:val="009C19B6"/>
    <w:rsid w:val="009C19E9"/>
    <w:rsid w:val="009C4075"/>
    <w:rsid w:val="009C74C2"/>
    <w:rsid w:val="009D00DC"/>
    <w:rsid w:val="009D1184"/>
    <w:rsid w:val="009D70B0"/>
    <w:rsid w:val="009D74A6"/>
    <w:rsid w:val="009E0E87"/>
    <w:rsid w:val="009E0EB5"/>
    <w:rsid w:val="009E27DF"/>
    <w:rsid w:val="009E2C90"/>
    <w:rsid w:val="009F6315"/>
    <w:rsid w:val="00A053BE"/>
    <w:rsid w:val="00A10F02"/>
    <w:rsid w:val="00A14BF4"/>
    <w:rsid w:val="00A155FA"/>
    <w:rsid w:val="00A204CA"/>
    <w:rsid w:val="00A209D6"/>
    <w:rsid w:val="00A22738"/>
    <w:rsid w:val="00A27B84"/>
    <w:rsid w:val="00A31823"/>
    <w:rsid w:val="00A31A03"/>
    <w:rsid w:val="00A36F5F"/>
    <w:rsid w:val="00A4010C"/>
    <w:rsid w:val="00A408EF"/>
    <w:rsid w:val="00A430EC"/>
    <w:rsid w:val="00A43639"/>
    <w:rsid w:val="00A507DA"/>
    <w:rsid w:val="00A534A4"/>
    <w:rsid w:val="00A53724"/>
    <w:rsid w:val="00A54B2B"/>
    <w:rsid w:val="00A54F82"/>
    <w:rsid w:val="00A600FD"/>
    <w:rsid w:val="00A60801"/>
    <w:rsid w:val="00A6242E"/>
    <w:rsid w:val="00A65ACE"/>
    <w:rsid w:val="00A703B6"/>
    <w:rsid w:val="00A71C6B"/>
    <w:rsid w:val="00A71F9C"/>
    <w:rsid w:val="00A74885"/>
    <w:rsid w:val="00A76E5A"/>
    <w:rsid w:val="00A82346"/>
    <w:rsid w:val="00A90966"/>
    <w:rsid w:val="00A948D4"/>
    <w:rsid w:val="00A9564F"/>
    <w:rsid w:val="00A9671C"/>
    <w:rsid w:val="00A9741C"/>
    <w:rsid w:val="00AA1553"/>
    <w:rsid w:val="00AA2B37"/>
    <w:rsid w:val="00AA2BA3"/>
    <w:rsid w:val="00AA3273"/>
    <w:rsid w:val="00AA38BD"/>
    <w:rsid w:val="00AA4499"/>
    <w:rsid w:val="00AA694C"/>
    <w:rsid w:val="00AB3475"/>
    <w:rsid w:val="00AD0F3B"/>
    <w:rsid w:val="00AE0794"/>
    <w:rsid w:val="00AE2E93"/>
    <w:rsid w:val="00AE4860"/>
    <w:rsid w:val="00AE6197"/>
    <w:rsid w:val="00AE7976"/>
    <w:rsid w:val="00AF6935"/>
    <w:rsid w:val="00B0040A"/>
    <w:rsid w:val="00B0087E"/>
    <w:rsid w:val="00B02A8C"/>
    <w:rsid w:val="00B02B5F"/>
    <w:rsid w:val="00B05116"/>
    <w:rsid w:val="00B05380"/>
    <w:rsid w:val="00B05962"/>
    <w:rsid w:val="00B05AA1"/>
    <w:rsid w:val="00B05ADA"/>
    <w:rsid w:val="00B13289"/>
    <w:rsid w:val="00B15449"/>
    <w:rsid w:val="00B16C2F"/>
    <w:rsid w:val="00B23A0B"/>
    <w:rsid w:val="00B24C67"/>
    <w:rsid w:val="00B27303"/>
    <w:rsid w:val="00B32A16"/>
    <w:rsid w:val="00B33B71"/>
    <w:rsid w:val="00B34D6E"/>
    <w:rsid w:val="00B4030E"/>
    <w:rsid w:val="00B43D7C"/>
    <w:rsid w:val="00B47FD1"/>
    <w:rsid w:val="00B50E7E"/>
    <w:rsid w:val="00B50EFF"/>
    <w:rsid w:val="00B516BB"/>
    <w:rsid w:val="00B516D3"/>
    <w:rsid w:val="00B53955"/>
    <w:rsid w:val="00B62415"/>
    <w:rsid w:val="00B636D8"/>
    <w:rsid w:val="00B66650"/>
    <w:rsid w:val="00B71627"/>
    <w:rsid w:val="00B737E2"/>
    <w:rsid w:val="00B7538C"/>
    <w:rsid w:val="00B77E52"/>
    <w:rsid w:val="00B84DB2"/>
    <w:rsid w:val="00B867C8"/>
    <w:rsid w:val="00B87414"/>
    <w:rsid w:val="00B906B6"/>
    <w:rsid w:val="00B97CA8"/>
    <w:rsid w:val="00BA2C16"/>
    <w:rsid w:val="00BA5372"/>
    <w:rsid w:val="00BA5B27"/>
    <w:rsid w:val="00BA795B"/>
    <w:rsid w:val="00BB12C5"/>
    <w:rsid w:val="00BB38D8"/>
    <w:rsid w:val="00BC1038"/>
    <w:rsid w:val="00BC213E"/>
    <w:rsid w:val="00BC33AE"/>
    <w:rsid w:val="00BC3555"/>
    <w:rsid w:val="00BD15ED"/>
    <w:rsid w:val="00BD65CB"/>
    <w:rsid w:val="00BE5F1E"/>
    <w:rsid w:val="00BF0982"/>
    <w:rsid w:val="00BF27F2"/>
    <w:rsid w:val="00BF6F58"/>
    <w:rsid w:val="00C00D1E"/>
    <w:rsid w:val="00C013DC"/>
    <w:rsid w:val="00C04AEB"/>
    <w:rsid w:val="00C12B51"/>
    <w:rsid w:val="00C157ED"/>
    <w:rsid w:val="00C1643D"/>
    <w:rsid w:val="00C1684A"/>
    <w:rsid w:val="00C2215D"/>
    <w:rsid w:val="00C2227F"/>
    <w:rsid w:val="00C227FE"/>
    <w:rsid w:val="00C22A10"/>
    <w:rsid w:val="00C24650"/>
    <w:rsid w:val="00C24F7F"/>
    <w:rsid w:val="00C25465"/>
    <w:rsid w:val="00C33079"/>
    <w:rsid w:val="00C35AA2"/>
    <w:rsid w:val="00C36E04"/>
    <w:rsid w:val="00C44B8B"/>
    <w:rsid w:val="00C45064"/>
    <w:rsid w:val="00C50979"/>
    <w:rsid w:val="00C50A24"/>
    <w:rsid w:val="00C50AB1"/>
    <w:rsid w:val="00C53F86"/>
    <w:rsid w:val="00C55A12"/>
    <w:rsid w:val="00C55F4A"/>
    <w:rsid w:val="00C6035A"/>
    <w:rsid w:val="00C614F7"/>
    <w:rsid w:val="00C61C39"/>
    <w:rsid w:val="00C6553E"/>
    <w:rsid w:val="00C65BFC"/>
    <w:rsid w:val="00C6635A"/>
    <w:rsid w:val="00C71877"/>
    <w:rsid w:val="00C71E2D"/>
    <w:rsid w:val="00C7421A"/>
    <w:rsid w:val="00C74F08"/>
    <w:rsid w:val="00C76996"/>
    <w:rsid w:val="00C76EB6"/>
    <w:rsid w:val="00C83A13"/>
    <w:rsid w:val="00C86F10"/>
    <w:rsid w:val="00C87B91"/>
    <w:rsid w:val="00C9068C"/>
    <w:rsid w:val="00C92967"/>
    <w:rsid w:val="00C94774"/>
    <w:rsid w:val="00C96945"/>
    <w:rsid w:val="00CA3D0C"/>
    <w:rsid w:val="00CA40D0"/>
    <w:rsid w:val="00CA654B"/>
    <w:rsid w:val="00CA7321"/>
    <w:rsid w:val="00CB72B8"/>
    <w:rsid w:val="00CB74A1"/>
    <w:rsid w:val="00CC52E4"/>
    <w:rsid w:val="00CC653A"/>
    <w:rsid w:val="00CC71D6"/>
    <w:rsid w:val="00CD0113"/>
    <w:rsid w:val="00CD0BA8"/>
    <w:rsid w:val="00CD211F"/>
    <w:rsid w:val="00CD2C07"/>
    <w:rsid w:val="00CD4C7B"/>
    <w:rsid w:val="00CD4CE3"/>
    <w:rsid w:val="00CD58FE"/>
    <w:rsid w:val="00CD75EF"/>
    <w:rsid w:val="00CE014C"/>
    <w:rsid w:val="00CE0882"/>
    <w:rsid w:val="00CE2666"/>
    <w:rsid w:val="00CE2D80"/>
    <w:rsid w:val="00CF0678"/>
    <w:rsid w:val="00D03E5D"/>
    <w:rsid w:val="00D045AD"/>
    <w:rsid w:val="00D05BBD"/>
    <w:rsid w:val="00D13E5F"/>
    <w:rsid w:val="00D22A81"/>
    <w:rsid w:val="00D23204"/>
    <w:rsid w:val="00D25057"/>
    <w:rsid w:val="00D2539E"/>
    <w:rsid w:val="00D3013E"/>
    <w:rsid w:val="00D30CD7"/>
    <w:rsid w:val="00D33BE3"/>
    <w:rsid w:val="00D340A0"/>
    <w:rsid w:val="00D3792D"/>
    <w:rsid w:val="00D47AB0"/>
    <w:rsid w:val="00D52233"/>
    <w:rsid w:val="00D550E5"/>
    <w:rsid w:val="00D55E47"/>
    <w:rsid w:val="00D56410"/>
    <w:rsid w:val="00D62E19"/>
    <w:rsid w:val="00D65F11"/>
    <w:rsid w:val="00D67CD1"/>
    <w:rsid w:val="00D717CF"/>
    <w:rsid w:val="00D738D6"/>
    <w:rsid w:val="00D80795"/>
    <w:rsid w:val="00D8088D"/>
    <w:rsid w:val="00D852CB"/>
    <w:rsid w:val="00D854BE"/>
    <w:rsid w:val="00D87E00"/>
    <w:rsid w:val="00D9134D"/>
    <w:rsid w:val="00D91692"/>
    <w:rsid w:val="00D92BCF"/>
    <w:rsid w:val="00D96D11"/>
    <w:rsid w:val="00DA395F"/>
    <w:rsid w:val="00DA490E"/>
    <w:rsid w:val="00DA6B95"/>
    <w:rsid w:val="00DA7A03"/>
    <w:rsid w:val="00DB0DB8"/>
    <w:rsid w:val="00DB1818"/>
    <w:rsid w:val="00DC049A"/>
    <w:rsid w:val="00DC309B"/>
    <w:rsid w:val="00DC3A00"/>
    <w:rsid w:val="00DC4DA2"/>
    <w:rsid w:val="00DC5261"/>
    <w:rsid w:val="00DD4D33"/>
    <w:rsid w:val="00DD734B"/>
    <w:rsid w:val="00DE25D2"/>
    <w:rsid w:val="00DE263F"/>
    <w:rsid w:val="00DE7242"/>
    <w:rsid w:val="00DF3089"/>
    <w:rsid w:val="00DF7C20"/>
    <w:rsid w:val="00E02BC9"/>
    <w:rsid w:val="00E068D3"/>
    <w:rsid w:val="00E06EE6"/>
    <w:rsid w:val="00E10CC8"/>
    <w:rsid w:val="00E21D54"/>
    <w:rsid w:val="00E22002"/>
    <w:rsid w:val="00E220DC"/>
    <w:rsid w:val="00E221B6"/>
    <w:rsid w:val="00E24989"/>
    <w:rsid w:val="00E3358A"/>
    <w:rsid w:val="00E35326"/>
    <w:rsid w:val="00E36C01"/>
    <w:rsid w:val="00E37917"/>
    <w:rsid w:val="00E432A4"/>
    <w:rsid w:val="00E43455"/>
    <w:rsid w:val="00E46C08"/>
    <w:rsid w:val="00E471CF"/>
    <w:rsid w:val="00E47C6A"/>
    <w:rsid w:val="00E51C0B"/>
    <w:rsid w:val="00E51E4F"/>
    <w:rsid w:val="00E5514C"/>
    <w:rsid w:val="00E561FE"/>
    <w:rsid w:val="00E62835"/>
    <w:rsid w:val="00E65D79"/>
    <w:rsid w:val="00E76308"/>
    <w:rsid w:val="00E77645"/>
    <w:rsid w:val="00E81998"/>
    <w:rsid w:val="00E81E0E"/>
    <w:rsid w:val="00E83697"/>
    <w:rsid w:val="00E8374B"/>
    <w:rsid w:val="00E859B6"/>
    <w:rsid w:val="00E8684E"/>
    <w:rsid w:val="00E905FA"/>
    <w:rsid w:val="00E9232E"/>
    <w:rsid w:val="00EA41AD"/>
    <w:rsid w:val="00EA66C9"/>
    <w:rsid w:val="00EB5D32"/>
    <w:rsid w:val="00EC41C8"/>
    <w:rsid w:val="00EC4A25"/>
    <w:rsid w:val="00EC58BC"/>
    <w:rsid w:val="00EC5D05"/>
    <w:rsid w:val="00EC5D34"/>
    <w:rsid w:val="00EC6148"/>
    <w:rsid w:val="00EC75C8"/>
    <w:rsid w:val="00ED6E46"/>
    <w:rsid w:val="00ED7093"/>
    <w:rsid w:val="00EE051D"/>
    <w:rsid w:val="00EE4BEE"/>
    <w:rsid w:val="00EE766E"/>
    <w:rsid w:val="00EF051F"/>
    <w:rsid w:val="00EF44E4"/>
    <w:rsid w:val="00EF612C"/>
    <w:rsid w:val="00F0008B"/>
    <w:rsid w:val="00F024EB"/>
    <w:rsid w:val="00F025A2"/>
    <w:rsid w:val="00F03077"/>
    <w:rsid w:val="00F036E9"/>
    <w:rsid w:val="00F07388"/>
    <w:rsid w:val="00F11C24"/>
    <w:rsid w:val="00F12748"/>
    <w:rsid w:val="00F1368C"/>
    <w:rsid w:val="00F2026E"/>
    <w:rsid w:val="00F20A84"/>
    <w:rsid w:val="00F2210A"/>
    <w:rsid w:val="00F27D2F"/>
    <w:rsid w:val="00F31372"/>
    <w:rsid w:val="00F3299B"/>
    <w:rsid w:val="00F331E4"/>
    <w:rsid w:val="00F3387D"/>
    <w:rsid w:val="00F3744F"/>
    <w:rsid w:val="00F37743"/>
    <w:rsid w:val="00F37A2E"/>
    <w:rsid w:val="00F41A21"/>
    <w:rsid w:val="00F41E75"/>
    <w:rsid w:val="00F43C6D"/>
    <w:rsid w:val="00F445AC"/>
    <w:rsid w:val="00F54A3D"/>
    <w:rsid w:val="00F54CB0"/>
    <w:rsid w:val="00F579CD"/>
    <w:rsid w:val="00F653B8"/>
    <w:rsid w:val="00F6662B"/>
    <w:rsid w:val="00F6724D"/>
    <w:rsid w:val="00F71B89"/>
    <w:rsid w:val="00F72763"/>
    <w:rsid w:val="00F7353C"/>
    <w:rsid w:val="00F76F8F"/>
    <w:rsid w:val="00F8204C"/>
    <w:rsid w:val="00F85C20"/>
    <w:rsid w:val="00F863B9"/>
    <w:rsid w:val="00F87257"/>
    <w:rsid w:val="00F90688"/>
    <w:rsid w:val="00F9133E"/>
    <w:rsid w:val="00F941DF"/>
    <w:rsid w:val="00FA0D56"/>
    <w:rsid w:val="00FA1266"/>
    <w:rsid w:val="00FA28E2"/>
    <w:rsid w:val="00FA35E8"/>
    <w:rsid w:val="00FA4195"/>
    <w:rsid w:val="00FA4A89"/>
    <w:rsid w:val="00FB0419"/>
    <w:rsid w:val="00FB36FA"/>
    <w:rsid w:val="00FB5312"/>
    <w:rsid w:val="00FB5A3C"/>
    <w:rsid w:val="00FC0CAB"/>
    <w:rsid w:val="00FC1192"/>
    <w:rsid w:val="00FC7DB9"/>
    <w:rsid w:val="00FD1607"/>
    <w:rsid w:val="00FD1BED"/>
    <w:rsid w:val="00FD2EF4"/>
    <w:rsid w:val="00FD3A1B"/>
    <w:rsid w:val="00FD571B"/>
    <w:rsid w:val="00FE106D"/>
    <w:rsid w:val="00FE251B"/>
    <w:rsid w:val="00FE2BAF"/>
    <w:rsid w:val="00FF38D4"/>
    <w:rsid w:val="00FF5736"/>
    <w:rsid w:val="00FF70DA"/>
    <w:rsid w:val="035996DE"/>
    <w:rsid w:val="0362BB4D"/>
    <w:rsid w:val="038476E5"/>
    <w:rsid w:val="044FDC7F"/>
    <w:rsid w:val="0495C1A9"/>
    <w:rsid w:val="05ED2678"/>
    <w:rsid w:val="06CF387B"/>
    <w:rsid w:val="0767B7E7"/>
    <w:rsid w:val="08BF8BE4"/>
    <w:rsid w:val="096317A8"/>
    <w:rsid w:val="0A7D4418"/>
    <w:rsid w:val="0B88D5C7"/>
    <w:rsid w:val="0BBEDF9D"/>
    <w:rsid w:val="0D9B68EA"/>
    <w:rsid w:val="0E498587"/>
    <w:rsid w:val="0EE06A5C"/>
    <w:rsid w:val="0F37447A"/>
    <w:rsid w:val="1025D626"/>
    <w:rsid w:val="104D7098"/>
    <w:rsid w:val="10E9CC94"/>
    <w:rsid w:val="10EB7261"/>
    <w:rsid w:val="11F762C0"/>
    <w:rsid w:val="1283B344"/>
    <w:rsid w:val="12FE8CA8"/>
    <w:rsid w:val="132FC9D7"/>
    <w:rsid w:val="136B923F"/>
    <w:rsid w:val="140D0827"/>
    <w:rsid w:val="14F53726"/>
    <w:rsid w:val="1511A884"/>
    <w:rsid w:val="15DA3EC6"/>
    <w:rsid w:val="15F0135C"/>
    <w:rsid w:val="15FDB2C1"/>
    <w:rsid w:val="1685B0D5"/>
    <w:rsid w:val="16BA2F89"/>
    <w:rsid w:val="16F75700"/>
    <w:rsid w:val="17127665"/>
    <w:rsid w:val="17A27FA0"/>
    <w:rsid w:val="17BC7180"/>
    <w:rsid w:val="19348BF7"/>
    <w:rsid w:val="1947C65E"/>
    <w:rsid w:val="19B01ED3"/>
    <w:rsid w:val="1C48387A"/>
    <w:rsid w:val="1ED58DC0"/>
    <w:rsid w:val="1ED95AD8"/>
    <w:rsid w:val="20068BB8"/>
    <w:rsid w:val="20C3B684"/>
    <w:rsid w:val="2114A12F"/>
    <w:rsid w:val="213621D2"/>
    <w:rsid w:val="2230C2E7"/>
    <w:rsid w:val="22A38C4D"/>
    <w:rsid w:val="22B99C57"/>
    <w:rsid w:val="24628D3A"/>
    <w:rsid w:val="247043F2"/>
    <w:rsid w:val="25A91E43"/>
    <w:rsid w:val="25CD8098"/>
    <w:rsid w:val="263BD50C"/>
    <w:rsid w:val="266A2FC1"/>
    <w:rsid w:val="2720CAAF"/>
    <w:rsid w:val="274FAEC1"/>
    <w:rsid w:val="278848AD"/>
    <w:rsid w:val="27DC7AEE"/>
    <w:rsid w:val="289B2927"/>
    <w:rsid w:val="291A19A1"/>
    <w:rsid w:val="2976CB4A"/>
    <w:rsid w:val="2A6350DA"/>
    <w:rsid w:val="2BE41D54"/>
    <w:rsid w:val="2C144A03"/>
    <w:rsid w:val="2C2C1F69"/>
    <w:rsid w:val="2D9DA456"/>
    <w:rsid w:val="2E826268"/>
    <w:rsid w:val="2EF9940F"/>
    <w:rsid w:val="2EFAE604"/>
    <w:rsid w:val="2F2734EE"/>
    <w:rsid w:val="3021A04D"/>
    <w:rsid w:val="302578EA"/>
    <w:rsid w:val="30F350E1"/>
    <w:rsid w:val="315AEF62"/>
    <w:rsid w:val="326FC08C"/>
    <w:rsid w:val="3334ABAC"/>
    <w:rsid w:val="3446FEEE"/>
    <w:rsid w:val="347DD947"/>
    <w:rsid w:val="3515987D"/>
    <w:rsid w:val="359882C5"/>
    <w:rsid w:val="36A6AB2D"/>
    <w:rsid w:val="36AD3530"/>
    <w:rsid w:val="36B86CEF"/>
    <w:rsid w:val="391CC3F8"/>
    <w:rsid w:val="393036CD"/>
    <w:rsid w:val="398430BE"/>
    <w:rsid w:val="39B2E7DD"/>
    <w:rsid w:val="3AFA3B4C"/>
    <w:rsid w:val="3BD8F734"/>
    <w:rsid w:val="3D3A1420"/>
    <w:rsid w:val="3FE08F6E"/>
    <w:rsid w:val="40068EB2"/>
    <w:rsid w:val="4035016C"/>
    <w:rsid w:val="4109C20F"/>
    <w:rsid w:val="4168F113"/>
    <w:rsid w:val="41CDA152"/>
    <w:rsid w:val="424D479C"/>
    <w:rsid w:val="43FFB959"/>
    <w:rsid w:val="463EBDC7"/>
    <w:rsid w:val="464B2EEA"/>
    <w:rsid w:val="4679B25B"/>
    <w:rsid w:val="4750BDA5"/>
    <w:rsid w:val="4A87072F"/>
    <w:rsid w:val="4B60ECCB"/>
    <w:rsid w:val="4B9A5F48"/>
    <w:rsid w:val="4BC54C28"/>
    <w:rsid w:val="4CE93DB3"/>
    <w:rsid w:val="4D5EB7BE"/>
    <w:rsid w:val="4E3BB3B9"/>
    <w:rsid w:val="4EA617AC"/>
    <w:rsid w:val="51B61F7E"/>
    <w:rsid w:val="528FBD20"/>
    <w:rsid w:val="52A6C5BE"/>
    <w:rsid w:val="52C7FA5D"/>
    <w:rsid w:val="53447C78"/>
    <w:rsid w:val="53C0AE07"/>
    <w:rsid w:val="55697183"/>
    <w:rsid w:val="556EC565"/>
    <w:rsid w:val="55711A9C"/>
    <w:rsid w:val="559F5827"/>
    <w:rsid w:val="55A6D068"/>
    <w:rsid w:val="566D90DD"/>
    <w:rsid w:val="56973896"/>
    <w:rsid w:val="56CF0498"/>
    <w:rsid w:val="579E3F26"/>
    <w:rsid w:val="57C9020C"/>
    <w:rsid w:val="57D1F9B3"/>
    <w:rsid w:val="57E4D441"/>
    <w:rsid w:val="5A055916"/>
    <w:rsid w:val="5A10BDF6"/>
    <w:rsid w:val="5A5E2F40"/>
    <w:rsid w:val="5B4A1AC2"/>
    <w:rsid w:val="5D0BA364"/>
    <w:rsid w:val="5D635203"/>
    <w:rsid w:val="5DD144D9"/>
    <w:rsid w:val="5F32A73A"/>
    <w:rsid w:val="5F5F8A4A"/>
    <w:rsid w:val="5FC8EC12"/>
    <w:rsid w:val="5FF3A889"/>
    <w:rsid w:val="600C574D"/>
    <w:rsid w:val="60DF9BD5"/>
    <w:rsid w:val="60F2FF8C"/>
    <w:rsid w:val="61181651"/>
    <w:rsid w:val="61F89429"/>
    <w:rsid w:val="628EE804"/>
    <w:rsid w:val="62A27200"/>
    <w:rsid w:val="633712B3"/>
    <w:rsid w:val="634BDA7C"/>
    <w:rsid w:val="662135A0"/>
    <w:rsid w:val="67E9A719"/>
    <w:rsid w:val="68535210"/>
    <w:rsid w:val="68C76F65"/>
    <w:rsid w:val="6B47BA77"/>
    <w:rsid w:val="6BA48AFD"/>
    <w:rsid w:val="6BC7770D"/>
    <w:rsid w:val="6C2CD91E"/>
    <w:rsid w:val="6C3CC79B"/>
    <w:rsid w:val="6CDF15DD"/>
    <w:rsid w:val="6D5523BE"/>
    <w:rsid w:val="6DFF04B7"/>
    <w:rsid w:val="6E24AA69"/>
    <w:rsid w:val="6E27F3F2"/>
    <w:rsid w:val="6E61B5FA"/>
    <w:rsid w:val="6F149056"/>
    <w:rsid w:val="6F17622F"/>
    <w:rsid w:val="6F43CBE6"/>
    <w:rsid w:val="6F5A20D5"/>
    <w:rsid w:val="700B9A99"/>
    <w:rsid w:val="7050722D"/>
    <w:rsid w:val="708FF70F"/>
    <w:rsid w:val="71C7C1A8"/>
    <w:rsid w:val="729205B5"/>
    <w:rsid w:val="72E5D853"/>
    <w:rsid w:val="73071ADF"/>
    <w:rsid w:val="761DC68D"/>
    <w:rsid w:val="76CD9489"/>
    <w:rsid w:val="774A1E21"/>
    <w:rsid w:val="78322F35"/>
    <w:rsid w:val="7847EB5B"/>
    <w:rsid w:val="78809225"/>
    <w:rsid w:val="78CB7AAD"/>
    <w:rsid w:val="78EB2C22"/>
    <w:rsid w:val="793E9AFA"/>
    <w:rsid w:val="7D734C83"/>
    <w:rsid w:val="7DB76DF6"/>
    <w:rsid w:val="7FB4FF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4FC0988-190F-47BF-B5F8-EE00E543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7A2106"/>
    <w:rPr>
      <w:rFonts w:ascii="Arial" w:hAnsi="Arial"/>
      <w:sz w:val="3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5C6CAF"/>
    <w:rPr>
      <w:lang w:eastAsia="en-US"/>
    </w:rPr>
  </w:style>
  <w:style w:type="table" w:customStyle="1" w:styleId="TableGrid1">
    <w:name w:val="Table Grid1"/>
    <w:basedOn w:val="TableNormal"/>
    <w:next w:val="TableGrid"/>
    <w:uiPriority w:val="39"/>
    <w:rsid w:val="00C227F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2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851724"/>
    <w:pPr>
      <w:numPr>
        <w:numId w:val="26"/>
      </w:numPr>
      <w:tabs>
        <w:tab w:val="clear" w:pos="567"/>
        <w:tab w:val="num" w:pos="720"/>
      </w:tabs>
      <w:spacing w:line="259" w:lineRule="auto"/>
      <w:ind w:left="720" w:hanging="283"/>
      <w:jc w:val="both"/>
    </w:pPr>
    <w:rPr>
      <w:rFonts w:ascii="Arial" w:eastAsiaTheme="minorHAnsi" w:hAnsi="Arial" w:cstheme="minorBidi"/>
      <w:szCs w:val="22"/>
      <w:lang w:val="en-US" w:eastAsia="zh-CN"/>
    </w:rPr>
  </w:style>
  <w:style w:type="paragraph" w:styleId="BodyText">
    <w:name w:val="Body Text"/>
    <w:basedOn w:val="Normal"/>
    <w:link w:val="BodyTextChar"/>
    <w:rsid w:val="00851724"/>
    <w:pPr>
      <w:spacing w:after="120"/>
    </w:pPr>
  </w:style>
  <w:style w:type="character" w:customStyle="1" w:styleId="BodyTextChar">
    <w:name w:val="Body Text Char"/>
    <w:basedOn w:val="DefaultParagraphFont"/>
    <w:link w:val="BodyText"/>
    <w:rsid w:val="00851724"/>
    <w:rPr>
      <w:lang w:eastAsia="en-US"/>
    </w:rPr>
  </w:style>
  <w:style w:type="paragraph" w:styleId="Revision">
    <w:name w:val="Revision"/>
    <w:hidden/>
    <w:uiPriority w:val="99"/>
    <w:semiHidden/>
    <w:rsid w:val="007C20A9"/>
    <w:rPr>
      <w:lang w:eastAsia="en-US"/>
    </w:rPr>
  </w:style>
  <w:style w:type="character" w:styleId="Mention">
    <w:name w:val="Mention"/>
    <w:basedOn w:val="DefaultParagraphFont"/>
    <w:uiPriority w:val="99"/>
    <w:unhideWhenUsed/>
    <w:rsid w:val="005A6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637488657">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9.jp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5AIRPNAIUNRU-859666464-11852</_dlc_DocId>
    <_dlc_DocIdUrl xmlns="71c5aaf6-e6ce-465b-b873-5148d2a4c105">
      <Url>https://nokia.sharepoint.com/sites/c5g/e2earch/_layouts/15/DocIdRedir.aspx?ID=5AIRPNAIUNRU-859666464-11852</Url>
      <Description>5AIRPNAIUNRU-859666464-11852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B249E2-A5C0-44DC-9A81-7FBDF6F9C200}">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13</Pages>
  <Words>5491</Words>
  <Characters>31304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Awada, Ahmad (Nokia - DE/Munich)</dc:creator>
  <cp:keywords/>
  <dc:description/>
  <cp:lastModifiedBy>Nokia</cp:lastModifiedBy>
  <cp:revision>302</cp:revision>
  <dcterms:created xsi:type="dcterms:W3CDTF">2016-08-13T06:53:00Z</dcterms:created>
  <dcterms:modified xsi:type="dcterms:W3CDTF">2022-08-10T07:32:00Z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9a83d9a1-fb73-4b09-a5b7-8b210c5719fa</vt:lpwstr>
  </property>
</Properties>
</file>